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3BC3"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3975625"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6FD0AD05"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338A8204"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63AAAE30"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25E9665E"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0608F274"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2049F880"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0CF0E5B"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3F565BA5" w14:textId="77777777" w:rsidR="00BB1DEB" w:rsidRDefault="00EB4AAB" w:rsidP="00BB1DEB">
      <w:pPr>
        <w:spacing w:before="480" w:after="0"/>
        <w:ind w:left="0"/>
        <w:rPr>
          <w:rFonts w:asciiTheme="majorHAnsi" w:eastAsiaTheme="majorEastAsia" w:hAnsiTheme="majorHAnsi" w:cstheme="majorBidi"/>
          <w:b/>
          <w:color w:val="005EB8" w:themeColor="accent2"/>
          <w:spacing w:val="-10"/>
          <w:kern w:val="28"/>
          <w:sz w:val="56"/>
          <w:szCs w:val="56"/>
        </w:rPr>
      </w:pPr>
      <w:r>
        <w:rPr>
          <w:rFonts w:asciiTheme="majorHAnsi" w:eastAsiaTheme="majorEastAsia" w:hAnsiTheme="majorHAnsi" w:cstheme="majorBidi"/>
          <w:b/>
          <w:color w:val="005EB8" w:themeColor="accent2"/>
          <w:spacing w:val="-10"/>
          <w:kern w:val="28"/>
          <w:sz w:val="56"/>
          <w:szCs w:val="56"/>
        </w:rPr>
        <w:t>Workforce Data Report</w:t>
      </w:r>
      <w:r w:rsidR="00BB1DEB">
        <w:rPr>
          <w:rFonts w:asciiTheme="majorHAnsi" w:eastAsiaTheme="majorEastAsia" w:hAnsiTheme="majorHAnsi" w:cstheme="majorBidi"/>
          <w:b/>
          <w:color w:val="005EB8" w:themeColor="accent2"/>
          <w:spacing w:val="-10"/>
          <w:kern w:val="28"/>
          <w:sz w:val="56"/>
          <w:szCs w:val="56"/>
        </w:rPr>
        <w:t xml:space="preserve"> </w:t>
      </w:r>
    </w:p>
    <w:p w14:paraId="19587051" w14:textId="28C5979E" w:rsidR="00C323F0" w:rsidRPr="00BB1DEB" w:rsidRDefault="00BB1DEB" w:rsidP="00BB1DEB">
      <w:pPr>
        <w:spacing w:before="0" w:after="240"/>
        <w:ind w:left="0"/>
        <w:rPr>
          <w:rFonts w:asciiTheme="majorHAnsi" w:eastAsiaTheme="majorEastAsia" w:hAnsiTheme="majorHAnsi" w:cstheme="majorBidi"/>
          <w:bCs/>
          <w:i/>
          <w:iCs/>
          <w:color w:val="005EB8" w:themeColor="accent2"/>
          <w:spacing w:val="-10"/>
          <w:kern w:val="28"/>
          <w:sz w:val="44"/>
          <w:szCs w:val="44"/>
        </w:rPr>
      </w:pPr>
      <w:r w:rsidRPr="00BB1DEB">
        <w:rPr>
          <w:rFonts w:asciiTheme="majorHAnsi" w:eastAsiaTheme="majorEastAsia" w:hAnsiTheme="majorHAnsi" w:cstheme="majorBidi"/>
          <w:bCs/>
          <w:i/>
          <w:iCs/>
          <w:color w:val="005EB8" w:themeColor="accent2"/>
          <w:spacing w:val="-10"/>
          <w:kern w:val="28"/>
          <w:sz w:val="44"/>
          <w:szCs w:val="44"/>
        </w:rPr>
        <w:t>(Public Sector Equality Duty Report)</w:t>
      </w:r>
    </w:p>
    <w:p w14:paraId="253AE66D" w14:textId="4DC95C5F" w:rsidR="00EB4AAB" w:rsidRPr="00EB4AAB" w:rsidRDefault="00EB4AAB" w:rsidP="00EB4AAB">
      <w:pPr>
        <w:spacing w:before="0" w:after="240"/>
        <w:ind w:left="0"/>
        <w:rPr>
          <w:rFonts w:asciiTheme="majorHAnsi" w:eastAsiaTheme="majorEastAsia" w:hAnsiTheme="majorHAnsi" w:cstheme="majorBidi"/>
          <w:bCs/>
          <w:color w:val="005EB8" w:themeColor="accent2"/>
          <w:spacing w:val="-10"/>
          <w:kern w:val="28"/>
          <w:sz w:val="48"/>
          <w:szCs w:val="48"/>
        </w:rPr>
        <w:sectPr w:rsidR="00EB4AAB" w:rsidRPr="00EB4AAB" w:rsidSect="00DC2F69">
          <w:headerReference w:type="default" r:id="rId11"/>
          <w:footerReference w:type="default" r:id="rId12"/>
          <w:pgSz w:w="11906" w:h="16838"/>
          <w:pgMar w:top="1560" w:right="1440" w:bottom="1797" w:left="1440" w:header="993" w:footer="709" w:gutter="0"/>
          <w:cols w:space="708"/>
          <w:docGrid w:linePitch="360"/>
        </w:sectPr>
      </w:pPr>
      <w:r w:rsidRPr="00EB4AAB">
        <w:rPr>
          <w:rFonts w:asciiTheme="majorHAnsi" w:eastAsiaTheme="majorEastAsia" w:hAnsiTheme="majorHAnsi" w:cstheme="majorBidi"/>
          <w:bCs/>
          <w:color w:val="005EB8" w:themeColor="accent2"/>
          <w:spacing w:val="-10"/>
          <w:kern w:val="28"/>
          <w:sz w:val="48"/>
          <w:szCs w:val="48"/>
        </w:rPr>
        <w:t xml:space="preserve">As </w:t>
      </w:r>
      <w:proofErr w:type="gramStart"/>
      <w:r w:rsidRPr="00EB4AAB">
        <w:rPr>
          <w:rFonts w:asciiTheme="majorHAnsi" w:eastAsiaTheme="majorEastAsia" w:hAnsiTheme="majorHAnsi" w:cstheme="majorBidi"/>
          <w:bCs/>
          <w:color w:val="005EB8" w:themeColor="accent2"/>
          <w:spacing w:val="-10"/>
          <w:kern w:val="28"/>
          <w:sz w:val="48"/>
          <w:szCs w:val="48"/>
        </w:rPr>
        <w:t>at</w:t>
      </w:r>
      <w:proofErr w:type="gramEnd"/>
      <w:r w:rsidRPr="00EB4AAB">
        <w:rPr>
          <w:rFonts w:asciiTheme="majorHAnsi" w:eastAsiaTheme="majorEastAsia" w:hAnsiTheme="majorHAnsi" w:cstheme="majorBidi"/>
          <w:bCs/>
          <w:color w:val="005EB8" w:themeColor="accent2"/>
          <w:spacing w:val="-10"/>
          <w:kern w:val="28"/>
          <w:sz w:val="48"/>
          <w:szCs w:val="48"/>
        </w:rPr>
        <w:t xml:space="preserve"> 31 July 2024</w:t>
      </w:r>
    </w:p>
    <w:p w14:paraId="43B4DBAE" w14:textId="77777777" w:rsidR="00F40D75" w:rsidRPr="00F40D75" w:rsidRDefault="00F40D75" w:rsidP="00F40D75">
      <w:pPr>
        <w:keepNext/>
        <w:keepLines/>
        <w:spacing w:before="240"/>
        <w:ind w:left="0"/>
        <w:outlineLvl w:val="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t>Contents</w:t>
      </w:r>
    </w:p>
    <w:p w14:paraId="37E87B52" w14:textId="1F87D826" w:rsidR="00664100" w:rsidRDefault="00F40D75">
      <w:pPr>
        <w:pStyle w:val="TOC1"/>
        <w:rPr>
          <w:rFonts w:eastAsiaTheme="minorEastAsia"/>
          <w:b w:val="0"/>
          <w:noProof/>
          <w:color w:val="auto"/>
          <w:kern w:val="2"/>
          <w:sz w:val="22"/>
          <w:szCs w:val="22"/>
          <w:lang w:eastAsia="en-GB"/>
          <w14:ligatures w14:val="standardContextual"/>
        </w:rPr>
      </w:pPr>
      <w:r w:rsidRPr="00F40D75">
        <w:rPr>
          <w:rFonts w:ascii="AppleSystemUIFont" w:hAnsi="AppleSystemUIFont" w:cs="AppleSystemUIFont"/>
          <w:b w:val="0"/>
          <w:sz w:val="26"/>
          <w:szCs w:val="26"/>
        </w:rPr>
        <w:fldChar w:fldCharType="begin"/>
      </w:r>
      <w:r w:rsidRPr="00F40D75">
        <w:rPr>
          <w:rFonts w:ascii="AppleSystemUIFont" w:hAnsi="AppleSystemUIFont" w:cs="AppleSystemUIFont"/>
          <w:sz w:val="26"/>
          <w:szCs w:val="26"/>
        </w:rPr>
        <w:instrText xml:space="preserve"> TOC \h \z \t "Heading 2,1,Heading 3,2" </w:instrText>
      </w:r>
      <w:r w:rsidRPr="00F40D75">
        <w:rPr>
          <w:rFonts w:ascii="AppleSystemUIFont" w:hAnsi="AppleSystemUIFont" w:cs="AppleSystemUIFont"/>
          <w:b w:val="0"/>
          <w:sz w:val="26"/>
          <w:szCs w:val="26"/>
        </w:rPr>
        <w:fldChar w:fldCharType="separate"/>
      </w:r>
      <w:hyperlink w:anchor="_Toc183005846" w:history="1">
        <w:r w:rsidR="00664100" w:rsidRPr="00BE5B52">
          <w:rPr>
            <w:rStyle w:val="Hyperlink"/>
            <w:noProof/>
          </w:rPr>
          <w:t>1.</w:t>
        </w:r>
        <w:r w:rsidR="00664100">
          <w:rPr>
            <w:rFonts w:eastAsiaTheme="minorEastAsia"/>
            <w:b w:val="0"/>
            <w:noProof/>
            <w:color w:val="auto"/>
            <w:kern w:val="2"/>
            <w:sz w:val="22"/>
            <w:szCs w:val="22"/>
            <w:lang w:eastAsia="en-GB"/>
            <w14:ligatures w14:val="standardContextual"/>
          </w:rPr>
          <w:tab/>
        </w:r>
        <w:r w:rsidR="00664100" w:rsidRPr="00BE5B52">
          <w:rPr>
            <w:rStyle w:val="Hyperlink"/>
            <w:noProof/>
          </w:rPr>
          <w:t>Introduction</w:t>
        </w:r>
        <w:r w:rsidR="00664100">
          <w:rPr>
            <w:noProof/>
            <w:webHidden/>
          </w:rPr>
          <w:tab/>
        </w:r>
        <w:r w:rsidR="00664100">
          <w:rPr>
            <w:noProof/>
            <w:webHidden/>
          </w:rPr>
          <w:fldChar w:fldCharType="begin"/>
        </w:r>
        <w:r w:rsidR="00664100">
          <w:rPr>
            <w:noProof/>
            <w:webHidden/>
          </w:rPr>
          <w:instrText xml:space="preserve"> PAGEREF _Toc183005846 \h </w:instrText>
        </w:r>
        <w:r w:rsidR="00664100">
          <w:rPr>
            <w:noProof/>
            <w:webHidden/>
          </w:rPr>
        </w:r>
        <w:r w:rsidR="00664100">
          <w:rPr>
            <w:noProof/>
            <w:webHidden/>
          </w:rPr>
          <w:fldChar w:fldCharType="separate"/>
        </w:r>
        <w:r w:rsidR="00664100">
          <w:rPr>
            <w:noProof/>
            <w:webHidden/>
          </w:rPr>
          <w:t>3</w:t>
        </w:r>
        <w:r w:rsidR="00664100">
          <w:rPr>
            <w:noProof/>
            <w:webHidden/>
          </w:rPr>
          <w:fldChar w:fldCharType="end"/>
        </w:r>
      </w:hyperlink>
    </w:p>
    <w:p w14:paraId="6CCFDA1E" w14:textId="436E09A2" w:rsidR="00664100" w:rsidRDefault="00664100">
      <w:pPr>
        <w:pStyle w:val="TOC1"/>
        <w:rPr>
          <w:rFonts w:eastAsiaTheme="minorEastAsia"/>
          <w:b w:val="0"/>
          <w:noProof/>
          <w:color w:val="auto"/>
          <w:kern w:val="2"/>
          <w:sz w:val="22"/>
          <w:szCs w:val="22"/>
          <w:lang w:eastAsia="en-GB"/>
          <w14:ligatures w14:val="standardContextual"/>
        </w:rPr>
      </w:pPr>
      <w:hyperlink w:anchor="_Toc183005847" w:history="1">
        <w:r w:rsidRPr="00BE5B52">
          <w:rPr>
            <w:rStyle w:val="Hyperlink"/>
            <w:noProof/>
          </w:rPr>
          <w:t>2.</w:t>
        </w:r>
        <w:r>
          <w:rPr>
            <w:rFonts w:eastAsiaTheme="minorEastAsia"/>
            <w:b w:val="0"/>
            <w:noProof/>
            <w:color w:val="auto"/>
            <w:kern w:val="2"/>
            <w:sz w:val="22"/>
            <w:szCs w:val="22"/>
            <w:lang w:eastAsia="en-GB"/>
            <w14:ligatures w14:val="standardContextual"/>
          </w:rPr>
          <w:tab/>
        </w:r>
        <w:r w:rsidRPr="00BE5B52">
          <w:rPr>
            <w:rStyle w:val="Hyperlink"/>
            <w:noProof/>
          </w:rPr>
          <w:t>Workforce Data Review</w:t>
        </w:r>
        <w:r>
          <w:rPr>
            <w:noProof/>
            <w:webHidden/>
          </w:rPr>
          <w:tab/>
        </w:r>
        <w:r>
          <w:rPr>
            <w:noProof/>
            <w:webHidden/>
          </w:rPr>
          <w:fldChar w:fldCharType="begin"/>
        </w:r>
        <w:r>
          <w:rPr>
            <w:noProof/>
            <w:webHidden/>
          </w:rPr>
          <w:instrText xml:space="preserve"> PAGEREF _Toc183005847 \h </w:instrText>
        </w:r>
        <w:r>
          <w:rPr>
            <w:noProof/>
            <w:webHidden/>
          </w:rPr>
        </w:r>
        <w:r>
          <w:rPr>
            <w:noProof/>
            <w:webHidden/>
          </w:rPr>
          <w:fldChar w:fldCharType="separate"/>
        </w:r>
        <w:r>
          <w:rPr>
            <w:noProof/>
            <w:webHidden/>
          </w:rPr>
          <w:t>3</w:t>
        </w:r>
        <w:r>
          <w:rPr>
            <w:noProof/>
            <w:webHidden/>
          </w:rPr>
          <w:fldChar w:fldCharType="end"/>
        </w:r>
      </w:hyperlink>
    </w:p>
    <w:p w14:paraId="7CEFAF39" w14:textId="765E58F5" w:rsidR="00664100" w:rsidRDefault="00664100">
      <w:pPr>
        <w:pStyle w:val="TOC1"/>
        <w:rPr>
          <w:rFonts w:eastAsiaTheme="minorEastAsia"/>
          <w:b w:val="0"/>
          <w:noProof/>
          <w:color w:val="auto"/>
          <w:kern w:val="2"/>
          <w:sz w:val="22"/>
          <w:szCs w:val="22"/>
          <w:lang w:eastAsia="en-GB"/>
          <w14:ligatures w14:val="standardContextual"/>
        </w:rPr>
      </w:pPr>
      <w:hyperlink w:anchor="_Toc183005848" w:history="1">
        <w:r w:rsidRPr="00BE5B52">
          <w:rPr>
            <w:rStyle w:val="Hyperlink"/>
            <w:noProof/>
          </w:rPr>
          <w:t>3.</w:t>
        </w:r>
        <w:r>
          <w:rPr>
            <w:rFonts w:eastAsiaTheme="minorEastAsia"/>
            <w:b w:val="0"/>
            <w:noProof/>
            <w:color w:val="auto"/>
            <w:kern w:val="2"/>
            <w:sz w:val="22"/>
            <w:szCs w:val="22"/>
            <w:lang w:eastAsia="en-GB"/>
            <w14:ligatures w14:val="standardContextual"/>
          </w:rPr>
          <w:tab/>
        </w:r>
        <w:r w:rsidRPr="00BE5B52">
          <w:rPr>
            <w:rStyle w:val="Hyperlink"/>
            <w:noProof/>
          </w:rPr>
          <w:t>Conclusion</w:t>
        </w:r>
        <w:r>
          <w:rPr>
            <w:noProof/>
            <w:webHidden/>
          </w:rPr>
          <w:tab/>
        </w:r>
        <w:r>
          <w:rPr>
            <w:noProof/>
            <w:webHidden/>
          </w:rPr>
          <w:fldChar w:fldCharType="begin"/>
        </w:r>
        <w:r>
          <w:rPr>
            <w:noProof/>
            <w:webHidden/>
          </w:rPr>
          <w:instrText xml:space="preserve"> PAGEREF _Toc183005848 \h </w:instrText>
        </w:r>
        <w:r>
          <w:rPr>
            <w:noProof/>
            <w:webHidden/>
          </w:rPr>
        </w:r>
        <w:r>
          <w:rPr>
            <w:noProof/>
            <w:webHidden/>
          </w:rPr>
          <w:fldChar w:fldCharType="separate"/>
        </w:r>
        <w:r>
          <w:rPr>
            <w:noProof/>
            <w:webHidden/>
          </w:rPr>
          <w:t>7</w:t>
        </w:r>
        <w:r>
          <w:rPr>
            <w:noProof/>
            <w:webHidden/>
          </w:rPr>
          <w:fldChar w:fldCharType="end"/>
        </w:r>
      </w:hyperlink>
    </w:p>
    <w:p w14:paraId="12222781" w14:textId="55EC8C7F" w:rsidR="00664100" w:rsidRDefault="00664100">
      <w:pPr>
        <w:pStyle w:val="TOC1"/>
        <w:rPr>
          <w:rFonts w:eastAsiaTheme="minorEastAsia"/>
          <w:b w:val="0"/>
          <w:noProof/>
          <w:color w:val="auto"/>
          <w:kern w:val="2"/>
          <w:sz w:val="22"/>
          <w:szCs w:val="22"/>
          <w:lang w:eastAsia="en-GB"/>
          <w14:ligatures w14:val="standardContextual"/>
        </w:rPr>
      </w:pPr>
      <w:hyperlink w:anchor="_Toc183005849" w:history="1">
        <w:r w:rsidRPr="00BE5B52">
          <w:rPr>
            <w:rStyle w:val="Hyperlink"/>
            <w:noProof/>
          </w:rPr>
          <w:t>4.</w:t>
        </w:r>
        <w:r>
          <w:rPr>
            <w:rFonts w:eastAsiaTheme="minorEastAsia"/>
            <w:b w:val="0"/>
            <w:noProof/>
            <w:color w:val="auto"/>
            <w:kern w:val="2"/>
            <w:sz w:val="22"/>
            <w:szCs w:val="22"/>
            <w:lang w:eastAsia="en-GB"/>
            <w14:ligatures w14:val="standardContextual"/>
          </w:rPr>
          <w:tab/>
        </w:r>
        <w:r w:rsidRPr="00BE5B52">
          <w:rPr>
            <w:rStyle w:val="Hyperlink"/>
            <w:noProof/>
          </w:rPr>
          <w:t>Arrangements for Review</w:t>
        </w:r>
        <w:r>
          <w:rPr>
            <w:noProof/>
            <w:webHidden/>
          </w:rPr>
          <w:tab/>
        </w:r>
        <w:r>
          <w:rPr>
            <w:noProof/>
            <w:webHidden/>
          </w:rPr>
          <w:fldChar w:fldCharType="begin"/>
        </w:r>
        <w:r>
          <w:rPr>
            <w:noProof/>
            <w:webHidden/>
          </w:rPr>
          <w:instrText xml:space="preserve"> PAGEREF _Toc183005849 \h </w:instrText>
        </w:r>
        <w:r>
          <w:rPr>
            <w:noProof/>
            <w:webHidden/>
          </w:rPr>
        </w:r>
        <w:r>
          <w:rPr>
            <w:noProof/>
            <w:webHidden/>
          </w:rPr>
          <w:fldChar w:fldCharType="separate"/>
        </w:r>
        <w:r>
          <w:rPr>
            <w:noProof/>
            <w:webHidden/>
          </w:rPr>
          <w:t>7</w:t>
        </w:r>
        <w:r>
          <w:rPr>
            <w:noProof/>
            <w:webHidden/>
          </w:rPr>
          <w:fldChar w:fldCharType="end"/>
        </w:r>
      </w:hyperlink>
    </w:p>
    <w:p w14:paraId="0BE66220" w14:textId="435234D6" w:rsidR="00F40D75" w:rsidRPr="00F40D75" w:rsidRDefault="00F40D75" w:rsidP="00F40D75">
      <w:pPr>
        <w:spacing w:before="0" w:after="0"/>
        <w:ind w:left="0"/>
        <w:rPr>
          <w:rFonts w:ascii="AppleSystemUIFont" w:hAnsi="AppleSystemUIFont" w:cs="AppleSystemUIFont"/>
          <w:sz w:val="26"/>
          <w:szCs w:val="26"/>
        </w:rPr>
      </w:pPr>
      <w:r w:rsidRPr="00F40D75">
        <w:rPr>
          <w:rFonts w:ascii="AppleSystemUIFont" w:hAnsi="AppleSystemUIFont" w:cs="AppleSystemUIFont"/>
          <w:b/>
          <w:sz w:val="26"/>
          <w:szCs w:val="26"/>
        </w:rPr>
        <w:fldChar w:fldCharType="end"/>
      </w:r>
      <w:r w:rsidRPr="00F40D75">
        <w:rPr>
          <w:rFonts w:ascii="AppleSystemUIFont" w:hAnsi="AppleSystemUIFont" w:cs="AppleSystemUIFont"/>
          <w:sz w:val="26"/>
          <w:szCs w:val="26"/>
        </w:rPr>
        <w:br w:type="page"/>
      </w:r>
    </w:p>
    <w:p w14:paraId="204F2BE9" w14:textId="77777777" w:rsidR="00F40D75" w:rsidRPr="00F40D75" w:rsidRDefault="00F40D75" w:rsidP="001F64C6">
      <w:pPr>
        <w:pStyle w:val="Heading2"/>
        <w:numPr>
          <w:ilvl w:val="0"/>
          <w:numId w:val="22"/>
        </w:numPr>
      </w:pPr>
      <w:bookmarkStart w:id="0" w:name="_Toc108099461"/>
      <w:bookmarkStart w:id="1" w:name="_Toc183005846"/>
      <w:r w:rsidRPr="00F40D75">
        <w:t>Introduction</w:t>
      </w:r>
      <w:bookmarkEnd w:id="0"/>
      <w:bookmarkEnd w:id="1"/>
    </w:p>
    <w:p w14:paraId="18544BA9" w14:textId="6DBF7943" w:rsidR="00F40D75" w:rsidRDefault="0009286A" w:rsidP="00F40D75">
      <w:pPr>
        <w:pStyle w:val="Style1"/>
      </w:pPr>
      <w:r>
        <w:t>The Mid and South Essex Integrated Care Board (ICB)</w:t>
      </w:r>
      <w:r w:rsidR="00856D12">
        <w:t xml:space="preserve"> </w:t>
      </w:r>
      <w:r w:rsidR="00133406">
        <w:t>recognises the values and diversity of our workforces and the population we serve and through our People Strategy aim to become an employer of choice</w:t>
      </w:r>
      <w:r w:rsidR="00391626">
        <w:t>.</w:t>
      </w:r>
    </w:p>
    <w:p w14:paraId="38954AD0" w14:textId="0437E1F1" w:rsidR="004B2F5A" w:rsidRDefault="00865CDE" w:rsidP="00F40D75">
      <w:pPr>
        <w:pStyle w:val="Style1"/>
      </w:pPr>
      <w:r>
        <w:t xml:space="preserve">Our Equality, Diversity, Inclusion and Belonging </w:t>
      </w:r>
      <w:r w:rsidR="00525AF6">
        <w:t xml:space="preserve">(EDIB) </w:t>
      </w:r>
      <w:r>
        <w:t xml:space="preserve">Strategy </w:t>
      </w:r>
      <w:r w:rsidR="009D5F17">
        <w:t xml:space="preserve">(approved by the ICB Board in November 2024) </w:t>
      </w:r>
      <w:r>
        <w:t>sets out the process by which the ICB will develop</w:t>
      </w:r>
      <w:r w:rsidR="0022579D">
        <w:t>,</w:t>
      </w:r>
      <w:r w:rsidR="001C7986">
        <w:t xml:space="preserve"> over the next four years</w:t>
      </w:r>
      <w:r w:rsidR="0022579D">
        <w:t>,</w:t>
      </w:r>
      <w:r w:rsidR="009D5F17">
        <w:t xml:space="preserve"> it’s approach to </w:t>
      </w:r>
      <w:r w:rsidR="0022579D">
        <w:t>EDI</w:t>
      </w:r>
      <w:r w:rsidR="00525AF6">
        <w:t>B</w:t>
      </w:r>
      <w:r w:rsidR="00E70C20">
        <w:t xml:space="preserve"> to demonstrate how we deliver our equality aims and objectives</w:t>
      </w:r>
      <w:r w:rsidR="00A55545">
        <w:t xml:space="preserve">, </w:t>
      </w:r>
      <w:r w:rsidR="009255AA">
        <w:t xml:space="preserve">linked to the </w:t>
      </w:r>
      <w:r w:rsidR="002F67DE">
        <w:t>three equality aims set out within the Public Sector Equality Duty (PSED)</w:t>
      </w:r>
      <w:r w:rsidR="00E70C20">
        <w:t>.</w:t>
      </w:r>
    </w:p>
    <w:p w14:paraId="2B00BC2E" w14:textId="426B5B92" w:rsidR="00391626" w:rsidRDefault="00ED7806" w:rsidP="00F40D75">
      <w:pPr>
        <w:pStyle w:val="Style1"/>
      </w:pPr>
      <w:r>
        <w:t xml:space="preserve">The </w:t>
      </w:r>
      <w:r w:rsidR="007E6584">
        <w:t>principal</w:t>
      </w:r>
      <w:r w:rsidR="003E39B4">
        <w:t xml:space="preserve"> objective of the </w:t>
      </w:r>
      <w:r>
        <w:t>PSED</w:t>
      </w:r>
      <w:r w:rsidR="003E39B4">
        <w:t xml:space="preserve"> </w:t>
      </w:r>
      <w:r w:rsidR="009F7CDD">
        <w:t>is one of ‘due regard’ or proper consider</w:t>
      </w:r>
      <w:r w:rsidR="00DE195D">
        <w:t>ation of the need to address the three equality aims:</w:t>
      </w:r>
    </w:p>
    <w:p w14:paraId="348732E5" w14:textId="77777777" w:rsidR="007E6584" w:rsidRDefault="007E6584" w:rsidP="007E6584">
      <w:pPr>
        <w:pStyle w:val="Style2"/>
        <w:numPr>
          <w:ilvl w:val="0"/>
          <w:numId w:val="26"/>
        </w:numPr>
        <w:contextualSpacing w:val="0"/>
      </w:pPr>
      <w:r>
        <w:t xml:space="preserve">Equality </w:t>
      </w:r>
      <w:proofErr w:type="gramStart"/>
      <w:r>
        <w:t>aim</w:t>
      </w:r>
      <w:proofErr w:type="gramEnd"/>
      <w:r>
        <w:t xml:space="preserve"> 1: eliminate discrimination, harassment, victimisation and any other conduct that is prohibited by or under this Act,</w:t>
      </w:r>
    </w:p>
    <w:p w14:paraId="41B84200" w14:textId="0D567134" w:rsidR="007E6584" w:rsidRDefault="007E6584" w:rsidP="007E6584">
      <w:pPr>
        <w:pStyle w:val="Style2"/>
        <w:numPr>
          <w:ilvl w:val="0"/>
          <w:numId w:val="26"/>
        </w:numPr>
        <w:contextualSpacing w:val="0"/>
      </w:pPr>
      <w:r>
        <w:t xml:space="preserve">Equality </w:t>
      </w:r>
      <w:proofErr w:type="gramStart"/>
      <w:r>
        <w:t>aim</w:t>
      </w:r>
      <w:proofErr w:type="gramEnd"/>
      <w:r>
        <w:t xml:space="preserve"> 2: advance equality of opportunity between persons who share a relevant protected characteristic and persons who do not share it,</w:t>
      </w:r>
    </w:p>
    <w:p w14:paraId="54C8C66D" w14:textId="77777777" w:rsidR="007E6584" w:rsidRDefault="007E6584" w:rsidP="007E6584">
      <w:pPr>
        <w:pStyle w:val="Style2"/>
        <w:numPr>
          <w:ilvl w:val="0"/>
          <w:numId w:val="26"/>
        </w:numPr>
        <w:contextualSpacing w:val="0"/>
      </w:pPr>
      <w:r>
        <w:t xml:space="preserve">Equality </w:t>
      </w:r>
      <w:proofErr w:type="gramStart"/>
      <w:r>
        <w:t>aim</w:t>
      </w:r>
      <w:proofErr w:type="gramEnd"/>
      <w:r>
        <w:t xml:space="preserve"> 3: foster good relations between persons who share a relevant protected characteristic and persons who do not share it.</w:t>
      </w:r>
    </w:p>
    <w:p w14:paraId="2897A775" w14:textId="5860974A" w:rsidR="00DE195D" w:rsidRDefault="007E6584" w:rsidP="00F40D75">
      <w:pPr>
        <w:pStyle w:val="Style1"/>
      </w:pPr>
      <w:proofErr w:type="gramStart"/>
      <w:r>
        <w:t>In order t</w:t>
      </w:r>
      <w:r w:rsidR="00D70F30">
        <w:t>o</w:t>
      </w:r>
      <w:proofErr w:type="gramEnd"/>
      <w:r w:rsidR="00D70F30">
        <w:t xml:space="preserve"> achieve the equality aims and its objectives as an employer, the ICB needs to understand the profile </w:t>
      </w:r>
      <w:r w:rsidR="00BF596E">
        <w:t xml:space="preserve">and experience </w:t>
      </w:r>
      <w:r w:rsidR="00D70F30">
        <w:t>of its workforce</w:t>
      </w:r>
      <w:r w:rsidR="00EB2B4A">
        <w:t xml:space="preserve">.  It does this </w:t>
      </w:r>
      <w:r w:rsidR="005C2EF3">
        <w:t>by analysing workforce data, using the Workforce Race</w:t>
      </w:r>
      <w:r w:rsidR="004F4D2D">
        <w:t xml:space="preserve"> and Disability Equality Standards tools, undertaking pay gap </w:t>
      </w:r>
      <w:proofErr w:type="gramStart"/>
      <w:r w:rsidR="004F4D2D">
        <w:t>assessments</w:t>
      </w:r>
      <w:proofErr w:type="gramEnd"/>
      <w:r w:rsidR="004F4D2D">
        <w:t xml:space="preserve"> and partaking in the NHS Staff Survey as well as conducting</w:t>
      </w:r>
      <w:r w:rsidR="0082005E">
        <w:t xml:space="preserve"> internal ‘pulse’ surveys.</w:t>
      </w:r>
    </w:p>
    <w:p w14:paraId="29719805" w14:textId="45C361F5" w:rsidR="0082005E" w:rsidRPr="00F40D75" w:rsidRDefault="0082005E" w:rsidP="00F40D75">
      <w:pPr>
        <w:pStyle w:val="Style1"/>
      </w:pPr>
      <w:r>
        <w:t xml:space="preserve">In establishing the EDI Strategy, the ICB assessed workforce data as </w:t>
      </w:r>
      <w:proofErr w:type="gramStart"/>
      <w:r>
        <w:t>at</w:t>
      </w:r>
      <w:proofErr w:type="gramEnd"/>
      <w:r>
        <w:t xml:space="preserve"> 31 July 2024.</w:t>
      </w:r>
      <w:r w:rsidR="00C23E86">
        <w:t xml:space="preserve">  </w:t>
      </w:r>
      <w:r>
        <w:t>This report sets out the ICB workforce data at that time</w:t>
      </w:r>
      <w:r w:rsidR="00B50547">
        <w:t>.</w:t>
      </w:r>
    </w:p>
    <w:p w14:paraId="74E746D7" w14:textId="35353414" w:rsidR="00F40D75" w:rsidRPr="00F40D75" w:rsidRDefault="00B50547" w:rsidP="00F40D75">
      <w:pPr>
        <w:pStyle w:val="Heading2"/>
      </w:pPr>
      <w:bookmarkStart w:id="2" w:name="_Toc183005847"/>
      <w:r>
        <w:t>Workforce Data Review</w:t>
      </w:r>
      <w:bookmarkEnd w:id="2"/>
    </w:p>
    <w:p w14:paraId="6795AC00" w14:textId="5827CA39" w:rsidR="00F40D75" w:rsidRDefault="00B50547" w:rsidP="00F40D75">
      <w:pPr>
        <w:pStyle w:val="Style1"/>
      </w:pPr>
      <w:r>
        <w:t xml:space="preserve">The data presented in this report was collated using the </w:t>
      </w:r>
      <w:r w:rsidR="001E584C">
        <w:t xml:space="preserve">Electronic Staff Record as </w:t>
      </w:r>
      <w:proofErr w:type="gramStart"/>
      <w:r w:rsidR="001E584C">
        <w:t>at</w:t>
      </w:r>
      <w:proofErr w:type="gramEnd"/>
      <w:r w:rsidR="001E584C">
        <w:t xml:space="preserve"> 31 July 2024. </w:t>
      </w:r>
    </w:p>
    <w:p w14:paraId="7269369F" w14:textId="77777777" w:rsidR="009D4B27" w:rsidRDefault="009D4B27" w:rsidP="009D4B27">
      <w:pPr>
        <w:pStyle w:val="Style1"/>
      </w:pPr>
      <w:r>
        <w:t xml:space="preserve">The ICB has a diverse workforce that includes people of different sex, age, race, sexual orientation, religion or belief, disability, and marital status.  We are committed to encouraging and supporting these diversities in all we do.  </w:t>
      </w:r>
    </w:p>
    <w:p w14:paraId="49616DEB" w14:textId="46A8C525" w:rsidR="009D4B27" w:rsidRDefault="009D4B27" w:rsidP="009D4B27">
      <w:pPr>
        <w:pStyle w:val="Style1"/>
      </w:pPr>
      <w:r>
        <w:t xml:space="preserve">Based on our corporate workforce data, MSE ICB’s workforce is made up of </w:t>
      </w:r>
      <w:proofErr w:type="gramStart"/>
      <w:r>
        <w:t>a majority of</w:t>
      </w:r>
      <w:proofErr w:type="gramEnd"/>
      <w:r>
        <w:t xml:space="preserve"> female employees (80%) (see fig</w:t>
      </w:r>
      <w:r w:rsidR="00FD6402">
        <w:t>.</w:t>
      </w:r>
      <w:r>
        <w:t xml:space="preserve"> </w:t>
      </w:r>
      <w:r w:rsidR="00921A1A">
        <w:t>1</w:t>
      </w:r>
      <w:r>
        <w:t xml:space="preserve">).  Whereas the gender split of the MSE population is 51% female, 49% male. </w:t>
      </w:r>
    </w:p>
    <w:p w14:paraId="39C2A976" w14:textId="3C17622F" w:rsidR="009D4B27" w:rsidRDefault="009D4B27" w:rsidP="00110879">
      <w:pPr>
        <w:ind w:left="0"/>
        <w:jc w:val="center"/>
      </w:pPr>
      <w:r>
        <w:rPr>
          <w:noProof/>
        </w:rPr>
        <w:drawing>
          <wp:inline distT="0" distB="0" distL="0" distR="0" wp14:anchorId="163D170D" wp14:editId="40AA0552">
            <wp:extent cx="2791438" cy="1675130"/>
            <wp:effectExtent l="0" t="0" r="9525" b="1270"/>
            <wp:docPr id="21" name="Picture 21" descr="Figure 6: Distribution of MSE employees by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6: Distribution of MSE employees by se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2393" cy="1681704"/>
                    </a:xfrm>
                    <a:prstGeom prst="rect">
                      <a:avLst/>
                    </a:prstGeom>
                    <a:noFill/>
                  </pic:spPr>
                </pic:pic>
              </a:graphicData>
            </a:graphic>
          </wp:inline>
        </w:drawing>
      </w:r>
      <w:r w:rsidR="00314BC8" w:rsidRPr="00314BC8">
        <w:rPr>
          <w:noProof/>
        </w:rPr>
        <w:drawing>
          <wp:inline distT="0" distB="0" distL="0" distR="0" wp14:anchorId="36C38146" wp14:editId="7E0CD4B1">
            <wp:extent cx="2266950" cy="800100"/>
            <wp:effectExtent l="0" t="0" r="0" b="0"/>
            <wp:docPr id="406889374" name="Picture 3" descr="Data table showing 338 female and 85 male staff members within the I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89374" name="Picture 3" descr="Data table showing 338 female and 85 male staff members within the IC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7603" cy="800330"/>
                    </a:xfrm>
                    <a:prstGeom prst="rect">
                      <a:avLst/>
                    </a:prstGeom>
                    <a:noFill/>
                    <a:ln>
                      <a:noFill/>
                    </a:ln>
                  </pic:spPr>
                </pic:pic>
              </a:graphicData>
            </a:graphic>
          </wp:inline>
        </w:drawing>
      </w:r>
    </w:p>
    <w:p w14:paraId="7BEBEC94" w14:textId="0DB31067" w:rsidR="009D4B27" w:rsidRPr="00526384" w:rsidRDefault="009D4B27" w:rsidP="009D4B27">
      <w:pPr>
        <w:rPr>
          <w:rFonts w:ascii="Calibri" w:eastAsia="Calibri" w:hAnsi="Calibri" w:cs="Calibri"/>
          <w:b/>
          <w:bCs/>
          <w:sz w:val="20"/>
          <w:szCs w:val="20"/>
          <w:lang w:val="en-US"/>
        </w:rPr>
      </w:pPr>
      <w:r w:rsidRPr="00526384">
        <w:rPr>
          <w:rFonts w:ascii="Calibri" w:eastAsia="Calibri" w:hAnsi="Calibri" w:cs="Calibri"/>
          <w:b/>
          <w:bCs/>
          <w:sz w:val="20"/>
          <w:szCs w:val="20"/>
          <w:lang w:val="en-US"/>
        </w:rPr>
        <w:t xml:space="preserve">Figure </w:t>
      </w:r>
      <w:r w:rsidR="00A3766C">
        <w:rPr>
          <w:rFonts w:ascii="Calibri" w:eastAsia="Calibri" w:hAnsi="Calibri" w:cs="Calibri"/>
          <w:b/>
          <w:bCs/>
          <w:sz w:val="20"/>
          <w:szCs w:val="20"/>
          <w:lang w:val="en-US"/>
        </w:rPr>
        <w:t>1</w:t>
      </w:r>
      <w:r w:rsidRPr="00526384">
        <w:rPr>
          <w:rFonts w:ascii="Calibri" w:eastAsia="Calibri" w:hAnsi="Calibri" w:cs="Calibri"/>
          <w:b/>
          <w:bCs/>
          <w:sz w:val="20"/>
          <w:szCs w:val="20"/>
          <w:lang w:val="en-US"/>
        </w:rPr>
        <w:t xml:space="preserve">: Distribution of MSE employees by </w:t>
      </w:r>
      <w:r>
        <w:rPr>
          <w:rFonts w:ascii="Calibri" w:eastAsia="Calibri" w:hAnsi="Calibri" w:cs="Calibri"/>
          <w:b/>
          <w:bCs/>
          <w:sz w:val="20"/>
          <w:szCs w:val="20"/>
          <w:lang w:val="en-US"/>
        </w:rPr>
        <w:t>sex</w:t>
      </w:r>
    </w:p>
    <w:p w14:paraId="24DFEC5E" w14:textId="63527269" w:rsidR="009D4B27" w:rsidRDefault="009D4B27" w:rsidP="009D4B27">
      <w:pPr>
        <w:pStyle w:val="Style1"/>
      </w:pPr>
      <w:r>
        <w:t xml:space="preserve">The majority of the ICB’s workforce is aged between 36-60 (73%), with </w:t>
      </w:r>
      <w:proofErr w:type="gramStart"/>
      <w:r>
        <w:t>a fairly equal</w:t>
      </w:r>
      <w:proofErr w:type="gramEnd"/>
      <w:r>
        <w:t xml:space="preserve"> split between the age ranges 36-40 (11%), 46-50 (15%), 51-55 (14%) and 56-60 (13%).  The larger element is 19% of our workforce being 41-45 years, as shown in fig</w:t>
      </w:r>
      <w:r w:rsidR="00FD6402">
        <w:t>.</w:t>
      </w:r>
      <w:r>
        <w:t xml:space="preserve"> </w:t>
      </w:r>
      <w:r w:rsidR="00921A1A">
        <w:t>2</w:t>
      </w:r>
      <w:r>
        <w:t xml:space="preserve">.  </w:t>
      </w:r>
    </w:p>
    <w:p w14:paraId="3D7B9CB4" w14:textId="735D4FF4" w:rsidR="009D4B27" w:rsidRDefault="009D4B27" w:rsidP="008A25E0">
      <w:pPr>
        <w:ind w:left="0"/>
        <w:jc w:val="center"/>
      </w:pPr>
      <w:r>
        <w:rPr>
          <w:noProof/>
        </w:rPr>
        <w:drawing>
          <wp:inline distT="0" distB="0" distL="0" distR="0" wp14:anchorId="559AEC16" wp14:editId="757D1532">
            <wp:extent cx="3382733" cy="2028701"/>
            <wp:effectExtent l="0" t="0" r="8255" b="0"/>
            <wp:docPr id="20" name="Picture 20" descr="Figure 7: Distribution of MSE employees by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7: Distribution of MSE employees by 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9352" cy="2068654"/>
                    </a:xfrm>
                    <a:prstGeom prst="rect">
                      <a:avLst/>
                    </a:prstGeom>
                    <a:noFill/>
                  </pic:spPr>
                </pic:pic>
              </a:graphicData>
            </a:graphic>
          </wp:inline>
        </w:drawing>
      </w:r>
      <w:r w:rsidR="00C23A31" w:rsidRPr="00C23A31">
        <w:rPr>
          <w:noProof/>
        </w:rPr>
        <w:drawing>
          <wp:inline distT="0" distB="0" distL="0" distR="0" wp14:anchorId="5E2307DC" wp14:editId="114C7E75">
            <wp:extent cx="2324100" cy="2033589"/>
            <wp:effectExtent l="0" t="0" r="0" b="5080"/>
            <wp:docPr id="1065439615" name="Picture 4" descr="Table showing the age range of staff within the ICB as follows: 14 staff aged between 21 and 25, 22 staff aged between 26 and 30, 38 staff aged between 31 and 35, 47 staff aged between 36 and 40, 82 staff aged between 41 and 45, 63 staff aged between 46 and 50, 61 staff aged between 51 and 55, 54 staff aged between 56 and 60, 27 staff aged between 61 and 65, 11 staff aged between 66 and 70, and 4 staff aged over 71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39615" name="Picture 4" descr="Table showing the age range of staff within the ICB as follows: 14 staff aged between 21 and 25, 22 staff aged between 26 and 30, 38 staff aged between 31 and 35, 47 staff aged between 36 and 40, 82 staff aged between 41 and 45, 63 staff aged between 46 and 50, 61 staff aged between 51 and 55, 54 staff aged between 56 and 60, 27 staff aged between 61 and 65, 11 staff aged between 66 and 70, and 4 staff aged over 71 yea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5640" cy="2043687"/>
                    </a:xfrm>
                    <a:prstGeom prst="rect">
                      <a:avLst/>
                    </a:prstGeom>
                    <a:noFill/>
                    <a:ln>
                      <a:noFill/>
                    </a:ln>
                  </pic:spPr>
                </pic:pic>
              </a:graphicData>
            </a:graphic>
          </wp:inline>
        </w:drawing>
      </w:r>
    </w:p>
    <w:p w14:paraId="4A3774F7" w14:textId="5042212F" w:rsidR="009D4B27" w:rsidRPr="00526384" w:rsidRDefault="009D4B27" w:rsidP="009D4B27">
      <w:pPr>
        <w:rPr>
          <w:rFonts w:ascii="Calibri" w:eastAsia="Calibri" w:hAnsi="Calibri" w:cs="Calibri"/>
          <w:b/>
          <w:bCs/>
          <w:sz w:val="20"/>
          <w:szCs w:val="20"/>
          <w:lang w:val="en-US"/>
        </w:rPr>
      </w:pPr>
      <w:r w:rsidRPr="00526384">
        <w:rPr>
          <w:rFonts w:ascii="Calibri" w:eastAsia="Calibri" w:hAnsi="Calibri" w:cs="Calibri"/>
          <w:b/>
          <w:bCs/>
          <w:sz w:val="20"/>
          <w:szCs w:val="20"/>
          <w:lang w:val="en-US"/>
        </w:rPr>
        <w:t xml:space="preserve">Figure </w:t>
      </w:r>
      <w:r w:rsidR="00921A1A">
        <w:rPr>
          <w:rFonts w:ascii="Calibri" w:eastAsia="Calibri" w:hAnsi="Calibri" w:cs="Calibri"/>
          <w:b/>
          <w:bCs/>
          <w:sz w:val="20"/>
          <w:szCs w:val="20"/>
          <w:lang w:val="en-US"/>
        </w:rPr>
        <w:t>2</w:t>
      </w:r>
      <w:r w:rsidRPr="00526384">
        <w:rPr>
          <w:rFonts w:ascii="Calibri" w:eastAsia="Calibri" w:hAnsi="Calibri" w:cs="Calibri"/>
          <w:b/>
          <w:bCs/>
          <w:sz w:val="20"/>
          <w:szCs w:val="20"/>
          <w:lang w:val="en-US"/>
        </w:rPr>
        <w:t>: Distribution of MSE employees by age</w:t>
      </w:r>
    </w:p>
    <w:p w14:paraId="4C8EFDD3" w14:textId="19B17150" w:rsidR="009D4B27" w:rsidRDefault="009D4B27" w:rsidP="009D4B27">
      <w:pPr>
        <w:pStyle w:val="Style1"/>
      </w:pPr>
      <w:r>
        <w:t>A high level of ICB staff feel comfortable reporting their race, with 2% unknown (see fig</w:t>
      </w:r>
      <w:r w:rsidR="00FD6402">
        <w:t>.</w:t>
      </w:r>
      <w:r>
        <w:t xml:space="preserve"> </w:t>
      </w:r>
      <w:r w:rsidR="00921A1A">
        <w:t>3</w:t>
      </w:r>
      <w:r>
        <w:t xml:space="preserve">).  Much like the racial diversity across the population of MSE, </w:t>
      </w:r>
      <w:proofErr w:type="gramStart"/>
      <w:r>
        <w:t>the majority of</w:t>
      </w:r>
      <w:proofErr w:type="gramEnd"/>
      <w:r>
        <w:t xml:space="preserve"> our workforce are white.  81% of our workforce, compared to 83% of our population in MSE are white.  Of the 17% of ethnically diverse groups, 52% were of Black African and 21% were of Indian origin. </w:t>
      </w:r>
    </w:p>
    <w:p w14:paraId="24AC562E" w14:textId="101E951D" w:rsidR="009D4B27" w:rsidRDefault="009D4B27" w:rsidP="008A25E0">
      <w:pPr>
        <w:ind w:left="0"/>
        <w:jc w:val="center"/>
      </w:pPr>
      <w:r>
        <w:rPr>
          <w:noProof/>
        </w:rPr>
        <w:drawing>
          <wp:inline distT="0" distB="0" distL="0" distR="0" wp14:anchorId="00DD54C1" wp14:editId="460913A1">
            <wp:extent cx="2639822" cy="1534239"/>
            <wp:effectExtent l="0" t="0" r="8255" b="8890"/>
            <wp:docPr id="22" name="Picture 22" descr="Figure 8: Distribution of MSE employees by 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8: Distribution of MSE employees by ra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1636" cy="1552729"/>
                    </a:xfrm>
                    <a:prstGeom prst="rect">
                      <a:avLst/>
                    </a:prstGeom>
                    <a:noFill/>
                  </pic:spPr>
                </pic:pic>
              </a:graphicData>
            </a:graphic>
          </wp:inline>
        </w:drawing>
      </w:r>
      <w:r w:rsidR="008E69F4" w:rsidRPr="008E69F4">
        <w:rPr>
          <w:noProof/>
        </w:rPr>
        <w:drawing>
          <wp:inline distT="0" distB="0" distL="0" distR="0" wp14:anchorId="32358978" wp14:editId="67F66167">
            <wp:extent cx="2200275" cy="923925"/>
            <wp:effectExtent l="0" t="0" r="9525" b="9525"/>
            <wp:docPr id="696884204" name="Picture 5" descr="Table showing the ethnicity breakdown of staff within the ICB as 344 white, 71 ethnically diverse groups and 8 not s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84204" name="Picture 5" descr="Table showing the ethnicity breakdown of staff within the ICB as 344 white, 71 ethnically diverse groups and 8 not st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923925"/>
                    </a:xfrm>
                    <a:prstGeom prst="rect">
                      <a:avLst/>
                    </a:prstGeom>
                    <a:noFill/>
                    <a:ln>
                      <a:noFill/>
                    </a:ln>
                  </pic:spPr>
                </pic:pic>
              </a:graphicData>
            </a:graphic>
          </wp:inline>
        </w:drawing>
      </w:r>
    </w:p>
    <w:p w14:paraId="0272E3FA" w14:textId="020E089A" w:rsidR="009D4B27" w:rsidRPr="00526384" w:rsidRDefault="009D4B27" w:rsidP="009D4B27">
      <w:pPr>
        <w:rPr>
          <w:rFonts w:ascii="Calibri" w:eastAsia="Calibri" w:hAnsi="Calibri" w:cs="Calibri"/>
          <w:b/>
          <w:bCs/>
          <w:sz w:val="20"/>
          <w:szCs w:val="20"/>
          <w:lang w:val="en-US"/>
        </w:rPr>
      </w:pPr>
      <w:r w:rsidRPr="00526384">
        <w:rPr>
          <w:rFonts w:ascii="Calibri" w:eastAsia="Calibri" w:hAnsi="Calibri" w:cs="Calibri"/>
          <w:b/>
          <w:bCs/>
          <w:sz w:val="20"/>
          <w:szCs w:val="20"/>
          <w:lang w:val="en-US"/>
        </w:rPr>
        <w:t xml:space="preserve">Figure </w:t>
      </w:r>
      <w:r w:rsidR="00921A1A">
        <w:rPr>
          <w:rFonts w:ascii="Calibri" w:eastAsia="Calibri" w:hAnsi="Calibri" w:cs="Calibri"/>
          <w:b/>
          <w:bCs/>
          <w:sz w:val="20"/>
          <w:szCs w:val="20"/>
          <w:lang w:val="en-US"/>
        </w:rPr>
        <w:t>3</w:t>
      </w:r>
      <w:r w:rsidRPr="00526384">
        <w:rPr>
          <w:rFonts w:ascii="Calibri" w:eastAsia="Calibri" w:hAnsi="Calibri" w:cs="Calibri"/>
          <w:b/>
          <w:bCs/>
          <w:sz w:val="20"/>
          <w:szCs w:val="20"/>
          <w:lang w:val="en-US"/>
        </w:rPr>
        <w:t>: Distribution of MSE employees by race</w:t>
      </w:r>
    </w:p>
    <w:p w14:paraId="0CA0A951" w14:textId="69A053AF" w:rsidR="009D4B27" w:rsidRDefault="009D4B27" w:rsidP="009D4B27">
      <w:pPr>
        <w:pStyle w:val="Style1"/>
      </w:pPr>
      <w:r>
        <w:t>Of the staff who responded to the most recent survey, 84% stated they were heterosexual, with 6% stating they were gay/lesbian/bisexual, 10% preferred not to disclose (see fig</w:t>
      </w:r>
      <w:r w:rsidR="00FD6402">
        <w:t>.</w:t>
      </w:r>
      <w:r>
        <w:t xml:space="preserve"> </w:t>
      </w:r>
      <w:r w:rsidR="00921A1A">
        <w:t>4</w:t>
      </w:r>
      <w:r>
        <w:t xml:space="preserve">).  </w:t>
      </w:r>
    </w:p>
    <w:p w14:paraId="0A8C4473" w14:textId="0CABF5DE" w:rsidR="009D4B27" w:rsidRDefault="009D4B27" w:rsidP="008A25E0">
      <w:pPr>
        <w:ind w:left="0"/>
        <w:jc w:val="center"/>
        <w:rPr>
          <w:b/>
          <w:bCs/>
          <w:i/>
          <w:iCs/>
        </w:rPr>
      </w:pPr>
      <w:r>
        <w:rPr>
          <w:b/>
          <w:bCs/>
          <w:i/>
          <w:iCs/>
          <w:noProof/>
        </w:rPr>
        <w:drawing>
          <wp:inline distT="0" distB="0" distL="0" distR="0" wp14:anchorId="6542E513" wp14:editId="525AEA2F">
            <wp:extent cx="2746984" cy="1645378"/>
            <wp:effectExtent l="0" t="0" r="0" b="0"/>
            <wp:docPr id="23" name="Picture 23" descr="Figure 9: Distribution of MSE employees by sexual orien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9: Distribution of MSE employees by sexual orientatio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072" cy="1658009"/>
                    </a:xfrm>
                    <a:prstGeom prst="rect">
                      <a:avLst/>
                    </a:prstGeom>
                    <a:noFill/>
                  </pic:spPr>
                </pic:pic>
              </a:graphicData>
            </a:graphic>
          </wp:inline>
        </w:drawing>
      </w:r>
      <w:r w:rsidR="008A25E0" w:rsidRPr="008A25E0">
        <w:rPr>
          <w:noProof/>
        </w:rPr>
        <w:drawing>
          <wp:inline distT="0" distB="0" distL="0" distR="0" wp14:anchorId="3A356570" wp14:editId="5BEB7FBD">
            <wp:extent cx="2915561" cy="1266825"/>
            <wp:effectExtent l="0" t="0" r="0" b="0"/>
            <wp:docPr id="1243781392" name="Picture 6" descr="Table showing the breakdown of sexual orientation of staff within the ICB, as follows: 9 bisexual, 16 gay or lesbian, 354 heterosexual or straight, 1 listed as other and 43 not s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81392" name="Picture 6" descr="Table showing the breakdown of sexual orientation of staff within the ICB, as follows: 9 bisexual, 16 gay or lesbian, 354 heterosexual or straight, 1 listed as other and 43 not st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7471" cy="1285035"/>
                    </a:xfrm>
                    <a:prstGeom prst="rect">
                      <a:avLst/>
                    </a:prstGeom>
                    <a:noFill/>
                    <a:ln>
                      <a:noFill/>
                    </a:ln>
                  </pic:spPr>
                </pic:pic>
              </a:graphicData>
            </a:graphic>
          </wp:inline>
        </w:drawing>
      </w:r>
    </w:p>
    <w:p w14:paraId="422AA6D7" w14:textId="394E6289" w:rsidR="009D4B27" w:rsidRPr="00526384" w:rsidRDefault="009D4B27" w:rsidP="009D4B27">
      <w:pPr>
        <w:rPr>
          <w:rFonts w:ascii="Calibri" w:eastAsia="Calibri" w:hAnsi="Calibri" w:cs="Calibri"/>
          <w:b/>
          <w:bCs/>
          <w:sz w:val="20"/>
          <w:szCs w:val="20"/>
          <w:lang w:val="en-US"/>
        </w:rPr>
      </w:pPr>
      <w:r w:rsidRPr="00526384">
        <w:rPr>
          <w:rFonts w:ascii="Calibri" w:eastAsia="Calibri" w:hAnsi="Calibri" w:cs="Calibri"/>
          <w:b/>
          <w:bCs/>
          <w:sz w:val="20"/>
          <w:szCs w:val="20"/>
          <w:lang w:val="en-US"/>
        </w:rPr>
        <w:t xml:space="preserve">Figure </w:t>
      </w:r>
      <w:r w:rsidR="00921A1A">
        <w:rPr>
          <w:rFonts w:ascii="Calibri" w:eastAsia="Calibri" w:hAnsi="Calibri" w:cs="Calibri"/>
          <w:b/>
          <w:bCs/>
          <w:sz w:val="20"/>
          <w:szCs w:val="20"/>
          <w:lang w:val="en-US"/>
        </w:rPr>
        <w:t>4</w:t>
      </w:r>
      <w:r w:rsidRPr="00526384">
        <w:rPr>
          <w:rFonts w:ascii="Calibri" w:eastAsia="Calibri" w:hAnsi="Calibri" w:cs="Calibri"/>
          <w:b/>
          <w:bCs/>
          <w:sz w:val="20"/>
          <w:szCs w:val="20"/>
          <w:lang w:val="en-US"/>
        </w:rPr>
        <w:t xml:space="preserve">: Distribution of MSE employees by sexual orientation </w:t>
      </w:r>
    </w:p>
    <w:p w14:paraId="794F6417" w14:textId="689E735D" w:rsidR="009D4B27" w:rsidRDefault="009D4B27" w:rsidP="009D4B27">
      <w:pPr>
        <w:pStyle w:val="Style1"/>
      </w:pPr>
      <w:r>
        <w:t>Christianity was the majority religion/belief at 49%, with atheism the second at 20% (see fig</w:t>
      </w:r>
      <w:r w:rsidR="00FD6402">
        <w:t>.</w:t>
      </w:r>
      <w:r>
        <w:t xml:space="preserve"> </w:t>
      </w:r>
      <w:r w:rsidR="00921A1A">
        <w:t>5</w:t>
      </w:r>
      <w:r>
        <w:t xml:space="preserve">).  A proportion (20%) of our workforce preferred not to disclose or left blank the data that records religion or belief.  </w:t>
      </w:r>
    </w:p>
    <w:p w14:paraId="75BFC56E" w14:textId="41B48332" w:rsidR="009D4B27" w:rsidRDefault="009D4B27" w:rsidP="00110879">
      <w:pPr>
        <w:ind w:left="0"/>
        <w:jc w:val="center"/>
      </w:pPr>
      <w:r>
        <w:rPr>
          <w:noProof/>
        </w:rPr>
        <w:drawing>
          <wp:inline distT="0" distB="0" distL="0" distR="0" wp14:anchorId="04D6F694" wp14:editId="79002717">
            <wp:extent cx="3337613" cy="1994535"/>
            <wp:effectExtent l="0" t="0" r="0" b="5715"/>
            <wp:docPr id="24" name="Picture 24" descr="Figure 10: Distribution of MSE employees by religion or belie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10: Distribution of MSE employees by religion or belief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72412" cy="2015330"/>
                    </a:xfrm>
                    <a:prstGeom prst="rect">
                      <a:avLst/>
                    </a:prstGeom>
                    <a:noFill/>
                  </pic:spPr>
                </pic:pic>
              </a:graphicData>
            </a:graphic>
          </wp:inline>
        </w:drawing>
      </w:r>
      <w:r w:rsidR="00110879" w:rsidRPr="00110879">
        <w:rPr>
          <w:noProof/>
        </w:rPr>
        <w:drawing>
          <wp:inline distT="0" distB="0" distL="0" distR="0" wp14:anchorId="1A373358" wp14:editId="2619FE21">
            <wp:extent cx="2286000" cy="1995567"/>
            <wp:effectExtent l="0" t="0" r="0" b="5080"/>
            <wp:docPr id="1785830203" name="Picture 7" descr="Table showing the religion or belief of staff within the ICB as follows: 83 atheism, 2 Buddhism, 209 Christianity, 11 Hinduism, 5 Islam, 1 Judaism, 26 listed as other, 1 Sikhism, 85 not s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30203" name="Picture 7" descr="Table showing the religion or belief of staff within the ICB as follows: 83 atheism, 2 Buddhism, 209 Christianity, 11 Hinduism, 5 Islam, 1 Judaism, 26 listed as other, 1 Sikhism, 85 not st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3252" cy="2010627"/>
                    </a:xfrm>
                    <a:prstGeom prst="rect">
                      <a:avLst/>
                    </a:prstGeom>
                    <a:noFill/>
                    <a:ln>
                      <a:noFill/>
                    </a:ln>
                  </pic:spPr>
                </pic:pic>
              </a:graphicData>
            </a:graphic>
          </wp:inline>
        </w:drawing>
      </w:r>
    </w:p>
    <w:p w14:paraId="59060F8F" w14:textId="512F85AF" w:rsidR="009D4B27" w:rsidRPr="004C6DF1" w:rsidRDefault="009D4B27" w:rsidP="009D4B27">
      <w:pPr>
        <w:rPr>
          <w:rFonts w:ascii="Calibri" w:eastAsia="Calibri" w:hAnsi="Calibri" w:cs="Calibri"/>
          <w:b/>
          <w:bCs/>
          <w:sz w:val="20"/>
          <w:szCs w:val="20"/>
          <w:lang w:val="en-US"/>
        </w:rPr>
      </w:pPr>
      <w:r w:rsidRPr="004C6DF1">
        <w:rPr>
          <w:rFonts w:ascii="Calibri" w:eastAsia="Calibri" w:hAnsi="Calibri" w:cs="Calibri"/>
          <w:b/>
          <w:bCs/>
          <w:sz w:val="20"/>
          <w:szCs w:val="20"/>
          <w:lang w:val="en-US"/>
        </w:rPr>
        <w:t xml:space="preserve">Figure </w:t>
      </w:r>
      <w:r w:rsidR="00921A1A">
        <w:rPr>
          <w:rFonts w:ascii="Calibri" w:eastAsia="Calibri" w:hAnsi="Calibri" w:cs="Calibri"/>
          <w:b/>
          <w:bCs/>
          <w:sz w:val="20"/>
          <w:szCs w:val="20"/>
          <w:lang w:val="en-US"/>
        </w:rPr>
        <w:t>5</w:t>
      </w:r>
      <w:r w:rsidRPr="004C6DF1">
        <w:rPr>
          <w:rFonts w:ascii="Calibri" w:eastAsia="Calibri" w:hAnsi="Calibri" w:cs="Calibri"/>
          <w:b/>
          <w:bCs/>
          <w:sz w:val="20"/>
          <w:szCs w:val="20"/>
          <w:lang w:val="en-US"/>
        </w:rPr>
        <w:t xml:space="preserve">: Distribution of MSE employees by religion or belief </w:t>
      </w:r>
    </w:p>
    <w:p w14:paraId="588FD1DD" w14:textId="671E768C" w:rsidR="009D4B27" w:rsidRDefault="009D4B27" w:rsidP="009D4B27">
      <w:pPr>
        <w:pStyle w:val="Style1"/>
      </w:pPr>
      <w:r>
        <w:t>8% of the ICB workforce stated they had a disability, with 9% recorded as ‘disability unknown’, 83% stated they did not have a disability (see fig</w:t>
      </w:r>
      <w:r w:rsidR="00FD6402">
        <w:t>.</w:t>
      </w:r>
      <w:r>
        <w:t xml:space="preserve"> </w:t>
      </w:r>
      <w:r w:rsidR="00921A1A">
        <w:t>6</w:t>
      </w:r>
      <w:r>
        <w:t xml:space="preserve">).   </w:t>
      </w:r>
    </w:p>
    <w:p w14:paraId="20730139" w14:textId="24C411F2" w:rsidR="009D4B27" w:rsidRDefault="009D4B27" w:rsidP="008A0ED9">
      <w:pPr>
        <w:ind w:left="0"/>
        <w:jc w:val="center"/>
      </w:pPr>
      <w:r>
        <w:rPr>
          <w:noProof/>
        </w:rPr>
        <w:drawing>
          <wp:inline distT="0" distB="0" distL="0" distR="0" wp14:anchorId="2D1D0FC0" wp14:editId="420C9614">
            <wp:extent cx="2735167" cy="1638300"/>
            <wp:effectExtent l="0" t="0" r="8255" b="0"/>
            <wp:docPr id="25" name="Picture 25" descr="Figure 11: Distribution of MSE employees by dis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11: Distribution of MSE employees by disability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5232" cy="1656308"/>
                    </a:xfrm>
                    <a:prstGeom prst="rect">
                      <a:avLst/>
                    </a:prstGeom>
                    <a:noFill/>
                  </pic:spPr>
                </pic:pic>
              </a:graphicData>
            </a:graphic>
          </wp:inline>
        </w:drawing>
      </w:r>
      <w:r w:rsidR="008A0ED9" w:rsidRPr="008A0ED9">
        <w:rPr>
          <w:noProof/>
        </w:rPr>
        <w:drawing>
          <wp:inline distT="0" distB="0" distL="0" distR="0" wp14:anchorId="2370296D" wp14:editId="4CB36813">
            <wp:extent cx="2324100" cy="923925"/>
            <wp:effectExtent l="0" t="0" r="0" b="9525"/>
            <wp:docPr id="1074245071" name="Picture 8" descr="Table stating the breakdown of staff within the ICB by disability as follows: 352 with no disability, 33 stating a disability and 38 not st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45071" name="Picture 8" descr="Table stating the breakdown of staff within the ICB by disability as follows: 352 with no disability, 33 stating a disability and 38 not st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4100" cy="923925"/>
                    </a:xfrm>
                    <a:prstGeom prst="rect">
                      <a:avLst/>
                    </a:prstGeom>
                    <a:noFill/>
                    <a:ln>
                      <a:noFill/>
                    </a:ln>
                  </pic:spPr>
                </pic:pic>
              </a:graphicData>
            </a:graphic>
          </wp:inline>
        </w:drawing>
      </w:r>
    </w:p>
    <w:p w14:paraId="7702BDCC" w14:textId="3D74AF0E" w:rsidR="009D4B27" w:rsidRPr="004C6DF1" w:rsidRDefault="009D4B27" w:rsidP="009D4B27">
      <w:pPr>
        <w:rPr>
          <w:rFonts w:ascii="Calibri" w:eastAsia="Calibri" w:hAnsi="Calibri" w:cs="Calibri"/>
          <w:b/>
          <w:bCs/>
          <w:sz w:val="20"/>
          <w:szCs w:val="20"/>
          <w:lang w:val="en-US"/>
        </w:rPr>
      </w:pPr>
      <w:r w:rsidRPr="004C6DF1">
        <w:rPr>
          <w:rFonts w:ascii="Calibri" w:eastAsia="Calibri" w:hAnsi="Calibri" w:cs="Calibri"/>
          <w:b/>
          <w:bCs/>
          <w:sz w:val="20"/>
          <w:szCs w:val="20"/>
          <w:lang w:val="en-US"/>
        </w:rPr>
        <w:t xml:space="preserve">Figure </w:t>
      </w:r>
      <w:r w:rsidR="00921A1A">
        <w:rPr>
          <w:rFonts w:ascii="Calibri" w:eastAsia="Calibri" w:hAnsi="Calibri" w:cs="Calibri"/>
          <w:b/>
          <w:bCs/>
          <w:sz w:val="20"/>
          <w:szCs w:val="20"/>
          <w:lang w:val="en-US"/>
        </w:rPr>
        <w:t>6</w:t>
      </w:r>
      <w:r w:rsidRPr="004C6DF1">
        <w:rPr>
          <w:rFonts w:ascii="Calibri" w:eastAsia="Calibri" w:hAnsi="Calibri" w:cs="Calibri"/>
          <w:b/>
          <w:bCs/>
          <w:sz w:val="20"/>
          <w:szCs w:val="20"/>
          <w:lang w:val="en-US"/>
        </w:rPr>
        <w:t xml:space="preserve">: Distribution of MSE employees by </w:t>
      </w:r>
      <w:r>
        <w:rPr>
          <w:rFonts w:ascii="Calibri" w:eastAsia="Calibri" w:hAnsi="Calibri" w:cs="Calibri"/>
          <w:b/>
          <w:bCs/>
          <w:sz w:val="20"/>
          <w:szCs w:val="20"/>
          <w:lang w:val="en-US"/>
        </w:rPr>
        <w:t>disability</w:t>
      </w:r>
      <w:r w:rsidRPr="004C6DF1">
        <w:rPr>
          <w:rFonts w:ascii="Calibri" w:eastAsia="Calibri" w:hAnsi="Calibri" w:cs="Calibri"/>
          <w:b/>
          <w:bCs/>
          <w:sz w:val="20"/>
          <w:szCs w:val="20"/>
          <w:lang w:val="en-US"/>
        </w:rPr>
        <w:t xml:space="preserve"> </w:t>
      </w:r>
    </w:p>
    <w:p w14:paraId="3F382FFF" w14:textId="77777777" w:rsidR="009D4B27" w:rsidRDefault="009D4B27" w:rsidP="009D4B27">
      <w:pPr>
        <w:pStyle w:val="Style1"/>
      </w:pPr>
      <w:r>
        <w:t xml:space="preserve">Supporting people to feel comfortable to declare their disabilities and religion is key to ensure that the ICB delivers effectively on our requirement to make reasonable adjustments to support our colleagues with a disability or need for support in following their faith. The ICB needs to work with staff so that everyone feels comfortable to declare whether they have a disability or not.  This will ensure that anyone who has any kind of disability and requires reasonable adjustments can be supported to receive them as an employee of the ICB.  The ICB needs to ensure that has truly inclusive recruitment processes and is recognised as an employer of choice for all. </w:t>
      </w:r>
    </w:p>
    <w:p w14:paraId="69963143" w14:textId="11E402E6" w:rsidR="009D4B27" w:rsidRDefault="009D4B27" w:rsidP="009D4B27">
      <w:pPr>
        <w:pStyle w:val="Style1"/>
      </w:pPr>
      <w:r>
        <w:t>60% of the workforce stated they were married, 26% stated they were single.  2% of our workforce did not provide information relating to their marriage or civil partnership (see fig</w:t>
      </w:r>
      <w:r w:rsidR="007F025B">
        <w:t>.</w:t>
      </w:r>
      <w:r>
        <w:t xml:space="preserve"> </w:t>
      </w:r>
      <w:r w:rsidR="00921A1A">
        <w:t>7</w:t>
      </w:r>
      <w:r>
        <w:t xml:space="preserve">).  </w:t>
      </w:r>
    </w:p>
    <w:p w14:paraId="41ECB932" w14:textId="52681F15" w:rsidR="009D4B27" w:rsidRDefault="009D4B27" w:rsidP="00764CEA">
      <w:pPr>
        <w:ind w:left="0"/>
      </w:pPr>
      <w:r>
        <w:rPr>
          <w:noProof/>
        </w:rPr>
        <w:drawing>
          <wp:inline distT="0" distB="0" distL="0" distR="0" wp14:anchorId="363ECDDC" wp14:editId="542E63D8">
            <wp:extent cx="3124200" cy="1871322"/>
            <wp:effectExtent l="0" t="0" r="0" b="0"/>
            <wp:docPr id="26" name="Picture 26" descr="Figure 12: Distribution of MSE employees by marriage and civil partner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Figure 12: Distribution of MSE employees by marriage and civil partnership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90800" cy="1911214"/>
                    </a:xfrm>
                    <a:prstGeom prst="rect">
                      <a:avLst/>
                    </a:prstGeom>
                    <a:noFill/>
                  </pic:spPr>
                </pic:pic>
              </a:graphicData>
            </a:graphic>
          </wp:inline>
        </w:drawing>
      </w:r>
      <w:r w:rsidR="00764CEA" w:rsidRPr="00764CEA">
        <w:rPr>
          <w:noProof/>
        </w:rPr>
        <w:drawing>
          <wp:inline distT="0" distB="0" distL="0" distR="0" wp14:anchorId="2799F828" wp14:editId="1A8267E7">
            <wp:extent cx="2568464" cy="1842135"/>
            <wp:effectExtent l="0" t="0" r="3810" b="5715"/>
            <wp:docPr id="1288184488" name="Picture 9" descr="Table showing the marriage and civil partnership status of staff within the ICB as follows: 6 civil partnership, 36 divorced, 8 legally separated, 253 married, 108 single, 4 widowed, 8 not st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84488" name="Picture 9" descr="Table showing the marriage and civil partnership status of staff within the ICB as follows: 6 civil partnership, 36 divorced, 8 legally separated, 253 married, 108 single, 4 widowed, 8 not stated.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9896" cy="1850334"/>
                    </a:xfrm>
                    <a:prstGeom prst="rect">
                      <a:avLst/>
                    </a:prstGeom>
                    <a:noFill/>
                    <a:ln>
                      <a:noFill/>
                    </a:ln>
                  </pic:spPr>
                </pic:pic>
              </a:graphicData>
            </a:graphic>
          </wp:inline>
        </w:drawing>
      </w:r>
    </w:p>
    <w:p w14:paraId="3189958C" w14:textId="1047B507" w:rsidR="009D4B27" w:rsidRPr="004C6DF1" w:rsidRDefault="009D4B27" w:rsidP="009D4B27">
      <w:pPr>
        <w:rPr>
          <w:rFonts w:ascii="Calibri" w:eastAsia="Calibri" w:hAnsi="Calibri" w:cs="Calibri"/>
          <w:b/>
          <w:bCs/>
          <w:sz w:val="20"/>
          <w:szCs w:val="20"/>
          <w:lang w:val="en-US"/>
        </w:rPr>
      </w:pPr>
      <w:r w:rsidRPr="004C6DF1">
        <w:rPr>
          <w:rFonts w:ascii="Calibri" w:eastAsia="Calibri" w:hAnsi="Calibri" w:cs="Calibri"/>
          <w:b/>
          <w:bCs/>
          <w:sz w:val="20"/>
          <w:szCs w:val="20"/>
          <w:lang w:val="en-US"/>
        </w:rPr>
        <w:t xml:space="preserve">Figure </w:t>
      </w:r>
      <w:r w:rsidR="00921A1A">
        <w:rPr>
          <w:rFonts w:ascii="Calibri" w:eastAsia="Calibri" w:hAnsi="Calibri" w:cs="Calibri"/>
          <w:b/>
          <w:bCs/>
          <w:sz w:val="20"/>
          <w:szCs w:val="20"/>
          <w:lang w:val="en-US"/>
        </w:rPr>
        <w:t>7</w:t>
      </w:r>
      <w:r w:rsidRPr="004C6DF1">
        <w:rPr>
          <w:rFonts w:ascii="Calibri" w:eastAsia="Calibri" w:hAnsi="Calibri" w:cs="Calibri"/>
          <w:b/>
          <w:bCs/>
          <w:sz w:val="20"/>
          <w:szCs w:val="20"/>
          <w:lang w:val="en-US"/>
        </w:rPr>
        <w:t xml:space="preserve">: Distribution of MSE employees by </w:t>
      </w:r>
      <w:r>
        <w:rPr>
          <w:rFonts w:ascii="Calibri" w:eastAsia="Calibri" w:hAnsi="Calibri" w:cs="Calibri"/>
          <w:b/>
          <w:bCs/>
          <w:sz w:val="20"/>
          <w:szCs w:val="20"/>
          <w:lang w:val="en-US"/>
        </w:rPr>
        <w:t>marriage and civil partnership</w:t>
      </w:r>
      <w:r w:rsidRPr="004C6DF1">
        <w:rPr>
          <w:rFonts w:ascii="Calibri" w:eastAsia="Calibri" w:hAnsi="Calibri" w:cs="Calibri"/>
          <w:b/>
          <w:bCs/>
          <w:sz w:val="20"/>
          <w:szCs w:val="20"/>
          <w:lang w:val="en-US"/>
        </w:rPr>
        <w:t xml:space="preserve"> </w:t>
      </w:r>
    </w:p>
    <w:p w14:paraId="44CE7CC7" w14:textId="77777777" w:rsidR="00E91D68" w:rsidRDefault="009D4B27" w:rsidP="009D4B27">
      <w:pPr>
        <w:pStyle w:val="Style1"/>
      </w:pPr>
      <w:r>
        <w:t xml:space="preserve">Of the senior managers within the ICB (band 8c and above), 56 were female (64%), and 32 male (36%).  Data shows that overall, there are a higher proportion of men in higher banded positions in the ICB than in the lower bandings as shown in figure </w:t>
      </w:r>
      <w:r w:rsidR="00796A11">
        <w:t>8</w:t>
      </w:r>
      <w:r>
        <w:t>.  Data further shows that women earn 10.6% less than men overall, according to the median pay gap data and 20% less than men according to the mean pay gap data.</w:t>
      </w:r>
      <w:r w:rsidRPr="39747FDF">
        <w:rPr>
          <w:noProof/>
        </w:rPr>
        <w:t xml:space="preserve"> </w:t>
      </w:r>
      <w:r>
        <w:rPr>
          <w:noProof/>
        </w:rPr>
        <w:t xml:space="preserve"> </w:t>
      </w:r>
    </w:p>
    <w:p w14:paraId="48337FA4" w14:textId="7AB4809B" w:rsidR="00E91D68" w:rsidRDefault="00E91D68" w:rsidP="00E91D68">
      <w:pPr>
        <w:pStyle w:val="Style1"/>
        <w:numPr>
          <w:ilvl w:val="0"/>
          <w:numId w:val="0"/>
        </w:numPr>
        <w:ind w:left="1134"/>
      </w:pPr>
      <w:r>
        <w:rPr>
          <w:noProof/>
        </w:rPr>
        <w:drawing>
          <wp:inline distT="0" distB="0" distL="0" distR="0" wp14:anchorId="79B6A5D4" wp14:editId="6F04A907">
            <wp:extent cx="3549444" cy="2133600"/>
            <wp:effectExtent l="0" t="0" r="0" b="0"/>
            <wp:docPr id="11" name="Picture 11" descr="Chart showing the gender profile within staff bands for mid and south Essex ICB employees (fig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showing the gender profile within staff bands for mid and south Essex ICB employees (fig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91025" cy="2158595"/>
                    </a:xfrm>
                    <a:prstGeom prst="rect">
                      <a:avLst/>
                    </a:prstGeom>
                    <a:noFill/>
                  </pic:spPr>
                </pic:pic>
              </a:graphicData>
            </a:graphic>
          </wp:inline>
        </w:drawing>
      </w:r>
    </w:p>
    <w:p w14:paraId="264288AC" w14:textId="77777777" w:rsidR="00E91D68" w:rsidRPr="00526384" w:rsidRDefault="00E91D68" w:rsidP="00E91D68">
      <w:pPr>
        <w:rPr>
          <w:rFonts w:ascii="Calibri" w:eastAsia="Calibri" w:hAnsi="Calibri" w:cs="Calibri"/>
          <w:b/>
          <w:bCs/>
          <w:sz w:val="20"/>
          <w:szCs w:val="20"/>
          <w:lang w:val="en-US"/>
        </w:rPr>
      </w:pPr>
      <w:r w:rsidRPr="00526384">
        <w:rPr>
          <w:rFonts w:ascii="Calibri" w:eastAsia="Calibri" w:hAnsi="Calibri" w:cs="Calibri"/>
          <w:b/>
          <w:bCs/>
          <w:sz w:val="20"/>
          <w:szCs w:val="20"/>
          <w:lang w:val="en-US"/>
        </w:rPr>
        <w:t xml:space="preserve">Figure </w:t>
      </w:r>
      <w:r>
        <w:rPr>
          <w:rFonts w:ascii="Calibri" w:eastAsia="Calibri" w:hAnsi="Calibri" w:cs="Calibri"/>
          <w:b/>
          <w:bCs/>
          <w:sz w:val="20"/>
          <w:szCs w:val="20"/>
          <w:lang w:val="en-US"/>
        </w:rPr>
        <w:t>8</w:t>
      </w:r>
      <w:r w:rsidRPr="00526384">
        <w:rPr>
          <w:rFonts w:ascii="Calibri" w:eastAsia="Calibri" w:hAnsi="Calibri" w:cs="Calibri"/>
          <w:b/>
          <w:bCs/>
          <w:sz w:val="20"/>
          <w:szCs w:val="20"/>
          <w:lang w:val="en-US"/>
        </w:rPr>
        <w:t xml:space="preserve">: </w:t>
      </w:r>
      <w:r>
        <w:rPr>
          <w:rFonts w:ascii="Calibri" w:eastAsia="Calibri" w:hAnsi="Calibri" w:cs="Calibri"/>
          <w:b/>
          <w:bCs/>
          <w:sz w:val="20"/>
          <w:szCs w:val="20"/>
          <w:lang w:val="en-US"/>
        </w:rPr>
        <w:t>G</w:t>
      </w:r>
      <w:r w:rsidRPr="00526384">
        <w:rPr>
          <w:rFonts w:ascii="Calibri" w:eastAsia="Calibri" w:hAnsi="Calibri" w:cs="Calibri"/>
          <w:b/>
          <w:bCs/>
          <w:sz w:val="20"/>
          <w:szCs w:val="20"/>
          <w:lang w:val="en-US"/>
        </w:rPr>
        <w:t xml:space="preserve">ender </w:t>
      </w:r>
      <w:r>
        <w:rPr>
          <w:rFonts w:ascii="Calibri" w:eastAsia="Calibri" w:hAnsi="Calibri" w:cs="Calibri"/>
          <w:b/>
          <w:bCs/>
          <w:sz w:val="20"/>
          <w:szCs w:val="20"/>
          <w:lang w:val="en-US"/>
        </w:rPr>
        <w:t xml:space="preserve">profile </w:t>
      </w:r>
      <w:r w:rsidRPr="00526384">
        <w:rPr>
          <w:rFonts w:ascii="Calibri" w:eastAsia="Calibri" w:hAnsi="Calibri" w:cs="Calibri"/>
          <w:b/>
          <w:bCs/>
          <w:sz w:val="20"/>
          <w:szCs w:val="20"/>
          <w:lang w:val="en-US"/>
        </w:rPr>
        <w:t>within staff bands.</w:t>
      </w:r>
    </w:p>
    <w:p w14:paraId="22ABC4BA" w14:textId="463D0FF5" w:rsidR="001E584C" w:rsidRDefault="009D4B27" w:rsidP="0014363B">
      <w:pPr>
        <w:pStyle w:val="Style1"/>
      </w:pPr>
      <w:r>
        <w:rPr>
          <w:noProof/>
        </w:rPr>
        <w:t>The ICB will therefore continue to monitor and take steps to address</w:t>
      </w:r>
      <w:r>
        <w:t xml:space="preserve"> the gender pay gap (higher proportion of women paid at lower bands</w:t>
      </w:r>
      <w:r w:rsidRPr="002E1A22">
        <w:t>)</w:t>
      </w:r>
      <w:r w:rsidR="00117A37">
        <w:t>.</w:t>
      </w:r>
      <w:r>
        <w:t xml:space="preserve"> </w:t>
      </w:r>
    </w:p>
    <w:p w14:paraId="76126C97" w14:textId="35D109C9" w:rsidR="00F40D75" w:rsidRPr="00F40D75" w:rsidRDefault="0030247B" w:rsidP="00F40D75">
      <w:pPr>
        <w:pStyle w:val="Heading2"/>
      </w:pPr>
      <w:bookmarkStart w:id="3" w:name="_Toc183005848"/>
      <w:r>
        <w:t>Conclusion</w:t>
      </w:r>
      <w:bookmarkEnd w:id="3"/>
    </w:p>
    <w:p w14:paraId="642C131B" w14:textId="77777777" w:rsidR="0030247B" w:rsidRDefault="0030247B" w:rsidP="0030247B">
      <w:pPr>
        <w:pStyle w:val="Style1"/>
      </w:pPr>
      <w:r>
        <w:t>Annually, the ICB reports on the Workforce Race Equality Standards (WRES) the Workforce Disability Equality Standards (WDES) and the Gender Pay Gap; to comply with statutory reporting requirements and to better understand what further actions we may need to take to continue to address identified inequalities.  The ICB has performed well in achieving a better representation throughout the ICB.  For example, staff with a disability have an equal chance of being appointed but there remains disparity in terms of the appointment of staff from ethnically diverse backgrounds. There is also a new requirement to publish an Ethnicity Pay Gap Report. These will be reported to the ICB Board alongside a detailed action plan outlining the steps that will be undertaken to better understand equality of opportunity and ensure that the ICB takes every possible step to ensure equitable access, such as adjusting our recruitment processes to even up the likelihood of those from non-white heritage applying and being appointed to positions in the ICB.</w:t>
      </w:r>
    </w:p>
    <w:p w14:paraId="09E5F15E" w14:textId="77777777" w:rsidR="0030247B" w:rsidRPr="00AA79FC" w:rsidRDefault="0030247B" w:rsidP="0030247B">
      <w:pPr>
        <w:pStyle w:val="Style1"/>
      </w:pPr>
      <w:r>
        <w:t xml:space="preserve">Our </w:t>
      </w:r>
      <w:r w:rsidRPr="00AA79FC">
        <w:t>latest</w:t>
      </w:r>
      <w:r>
        <w:t xml:space="preserve"> published WRES, WDES and Pay gap reporting can be found here </w:t>
      </w:r>
      <w:hyperlink r:id="rId28" w:history="1">
        <w:r w:rsidRPr="007605E4">
          <w:rPr>
            <w:color w:val="003087" w:themeColor="accent1"/>
          </w:rPr>
          <w:t>Gender pay gap - Mid and South Essex Integrated Care System (ics.nhs.uk)</w:t>
        </w:r>
      </w:hyperlink>
      <w:r w:rsidRPr="007605E4">
        <w:rPr>
          <w:color w:val="003087" w:themeColor="accent1"/>
        </w:rPr>
        <w:t xml:space="preserve"> [hyperlinks]</w:t>
      </w:r>
    </w:p>
    <w:p w14:paraId="43F977A3" w14:textId="6621DB30" w:rsidR="0030247B" w:rsidRDefault="0030247B" w:rsidP="00FC5C8E">
      <w:pPr>
        <w:pStyle w:val="Style1"/>
      </w:pPr>
      <w:r w:rsidRPr="002A7AD1">
        <w:t>As part of our strategy</w:t>
      </w:r>
      <w:r w:rsidRPr="008972C8">
        <w:t>, we recognise that we can do more to interpret the data available regarding our staff and consequently</w:t>
      </w:r>
      <w:r>
        <w:t>,</w:t>
      </w:r>
      <w:r w:rsidRPr="008972C8">
        <w:t xml:space="preserve"> we will be looking at how we assess intersectionality; the experience of staff </w:t>
      </w:r>
      <w:r>
        <w:t xml:space="preserve">with </w:t>
      </w:r>
      <w:r w:rsidRPr="008972C8">
        <w:t>more than one protected characteristic and what the ICB can do in the future to support staff in this respect</w:t>
      </w:r>
    </w:p>
    <w:p w14:paraId="546F6E32" w14:textId="77777777" w:rsidR="0030247B" w:rsidRDefault="0030247B" w:rsidP="0030247B">
      <w:pPr>
        <w:pStyle w:val="Style1"/>
      </w:pPr>
      <w:r>
        <w:t>The ICB respects individuals right to not disclose information they consider personal to them, but where this inhibits the ICBs ability to support staff with a protected characteristic, we will endeavour to understand why staff did not feel able to disclose such information and consequently what else the ICB could do to improve staff psychological safety to disclose and the ICB ability to support staff.</w:t>
      </w:r>
    </w:p>
    <w:p w14:paraId="34EEE0E0" w14:textId="77777777" w:rsidR="00F40D75" w:rsidRPr="00F40D75" w:rsidRDefault="00F40D75" w:rsidP="00F40D75">
      <w:pPr>
        <w:pStyle w:val="Heading2"/>
      </w:pPr>
      <w:bookmarkStart w:id="4" w:name="_Toc108099469"/>
      <w:bookmarkStart w:id="5" w:name="_Toc183005849"/>
      <w:r w:rsidRPr="00F40D75">
        <w:t xml:space="preserve">Arrangements </w:t>
      </w:r>
      <w:r>
        <w:t>f</w:t>
      </w:r>
      <w:r w:rsidRPr="00F40D75">
        <w:t>or Review</w:t>
      </w:r>
      <w:bookmarkEnd w:id="4"/>
      <w:bookmarkEnd w:id="5"/>
    </w:p>
    <w:p w14:paraId="6B121F85" w14:textId="000B958F" w:rsidR="00F40D75" w:rsidRPr="00F40D75" w:rsidRDefault="00DC37E7" w:rsidP="00F40D75">
      <w:pPr>
        <w:pStyle w:val="Style1"/>
      </w:pPr>
      <w:r>
        <w:t>Following publication of our EDIB Strategy the ICB will provide an annual report</w:t>
      </w:r>
      <w:r w:rsidR="00BB1DEB">
        <w:t xml:space="preserve"> to the ICB Board regarding compliance with the PSED and how the ICB is progressing in achieving its equality objectives.</w:t>
      </w:r>
    </w:p>
    <w:p w14:paraId="57DE0D04" w14:textId="6429562A" w:rsidR="00F40D75" w:rsidRPr="00F40D75" w:rsidRDefault="00F40D75" w:rsidP="00F40D75">
      <w:pPr>
        <w:spacing w:before="0" w:after="0"/>
        <w:ind w:left="0"/>
        <w:rPr>
          <w:rFonts w:asciiTheme="majorHAnsi" w:eastAsiaTheme="majorEastAsia" w:hAnsiTheme="majorHAnsi" w:cstheme="majorBidi"/>
          <w:color w:val="001743" w:themeColor="accent1" w:themeShade="7F"/>
        </w:rPr>
      </w:pPr>
    </w:p>
    <w:sectPr w:rsidR="00F40D75" w:rsidRPr="00F40D75" w:rsidSect="00DC2F69">
      <w:headerReference w:type="default" r:id="rId29"/>
      <w:footerReference w:type="default" r:id="rId30"/>
      <w:pgSz w:w="11906" w:h="16838"/>
      <w:pgMar w:top="1560" w:right="1440" w:bottom="1797" w:left="1440"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99E5" w14:textId="77777777" w:rsidR="00D551A0" w:rsidRDefault="00D551A0" w:rsidP="00EB783D">
      <w:pPr>
        <w:spacing w:before="0" w:after="0"/>
      </w:pPr>
      <w:r>
        <w:separator/>
      </w:r>
    </w:p>
  </w:endnote>
  <w:endnote w:type="continuationSeparator" w:id="0">
    <w:p w14:paraId="6D60E074" w14:textId="77777777" w:rsidR="00D551A0" w:rsidRDefault="00D551A0"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6C0A" w14:textId="77777777" w:rsidR="00076346" w:rsidRPr="00A91472" w:rsidRDefault="00D551A0" w:rsidP="00EB783D">
    <w:pPr>
      <w:pStyle w:val="Footer"/>
      <w:ind w:left="0"/>
    </w:pPr>
    <w:sdt>
      <w:sdtPr>
        <w:alias w:val="Title"/>
        <w:tag w:val="title"/>
        <w:id w:val="-1978518315"/>
        <w:showingPlcHdr/>
        <w:dataBinding w:prefixMappings="xmlns:ns0='http://purl.org/dc/elements/1.1/' xmlns:ns1='http://schemas.openxmlformats.org/package/2006/metadata/core-properties' " w:xpath="/ns1:coreProperties[1]/ns0:title[1]" w:storeItemID="{6C3C8BC8-F283-45AE-878A-BAB7291924A1}"/>
        <w:text/>
      </w:sdtPr>
      <w:sdtEndPr/>
      <w:sdtContent>
        <w:r w:rsidR="00364D55">
          <w:t xml:space="preserve">     </w:t>
        </w:r>
      </w:sdtContent>
    </w:sdt>
  </w:p>
  <w:p w14:paraId="1EEA6B97" w14:textId="77777777" w:rsidR="00076346" w:rsidRDefault="0007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BE38" w14:textId="025CA261" w:rsidR="00364D55" w:rsidRPr="00A91472" w:rsidRDefault="00D65004" w:rsidP="00EB783D">
    <w:pPr>
      <w:pStyle w:val="Footer"/>
      <w:ind w:left="0"/>
    </w:pPr>
    <w:r>
      <w:t xml:space="preserve">Workforce Data Report </w:t>
    </w:r>
    <w:proofErr w:type="gramStart"/>
    <w:r>
      <w:t>at</w:t>
    </w:r>
    <w:proofErr w:type="gramEnd"/>
    <w:r>
      <w:t xml:space="preserve"> 31 July 2024</w:t>
    </w:r>
    <w:r w:rsidR="00364D55" w:rsidRPr="00C1239F">
      <w:tab/>
    </w:r>
    <w:r w:rsidR="00364D55" w:rsidRPr="00C1239F">
      <w:tab/>
    </w:r>
    <w:r w:rsidR="00364D55" w:rsidRPr="00C90341">
      <w:t xml:space="preserve">Page </w:t>
    </w:r>
    <w:r w:rsidR="00364D55" w:rsidRPr="00C90341">
      <w:fldChar w:fldCharType="begin"/>
    </w:r>
    <w:r w:rsidR="00364D55" w:rsidRPr="00C90341">
      <w:instrText xml:space="preserve"> PAGE </w:instrText>
    </w:r>
    <w:r w:rsidR="00364D55" w:rsidRPr="00C90341">
      <w:fldChar w:fldCharType="separate"/>
    </w:r>
    <w:r w:rsidR="00364D55">
      <w:t>2</w:t>
    </w:r>
    <w:r w:rsidR="00364D55" w:rsidRPr="00C90341">
      <w:fldChar w:fldCharType="end"/>
    </w:r>
    <w:r w:rsidR="00364D55" w:rsidRPr="00C90341">
      <w:t xml:space="preserve"> of </w:t>
    </w:r>
    <w:r w:rsidR="00047CC5">
      <w:fldChar w:fldCharType="begin"/>
    </w:r>
    <w:r w:rsidR="00047CC5">
      <w:instrText xml:space="preserve"> NUMPAGES </w:instrText>
    </w:r>
    <w:r w:rsidR="00047CC5">
      <w:fldChar w:fldCharType="separate"/>
    </w:r>
    <w:r w:rsidR="00364D55">
      <w:t>11</w:t>
    </w:r>
    <w:r w:rsidR="00047CC5">
      <w:fldChar w:fldCharType="end"/>
    </w:r>
  </w:p>
  <w:p w14:paraId="7C3F1952" w14:textId="77777777" w:rsidR="00364D55" w:rsidRDefault="0036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697D" w14:textId="77777777" w:rsidR="00D551A0" w:rsidRDefault="00D551A0" w:rsidP="00EB783D">
      <w:pPr>
        <w:spacing w:before="0" w:after="0"/>
      </w:pPr>
      <w:r>
        <w:separator/>
      </w:r>
    </w:p>
  </w:footnote>
  <w:footnote w:type="continuationSeparator" w:id="0">
    <w:p w14:paraId="56E2911C" w14:textId="77777777" w:rsidR="00D551A0" w:rsidRDefault="00D551A0"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F442" w14:textId="77777777" w:rsidR="00076346" w:rsidRDefault="00364D55" w:rsidP="00EB783D">
    <w:pPr>
      <w:pStyle w:val="Header"/>
      <w:ind w:left="0"/>
    </w:pPr>
    <w:r>
      <w:rPr>
        <w:noProof/>
      </w:rPr>
      <mc:AlternateContent>
        <mc:Choice Requires="wpg">
          <w:drawing>
            <wp:anchor distT="0" distB="0" distL="114300" distR="114300" simplePos="0" relativeHeight="251659264" behindDoc="0" locked="0" layoutInCell="1" allowOverlap="1" wp14:anchorId="38EDD447" wp14:editId="066DD533">
              <wp:simplePos x="0" y="0"/>
              <wp:positionH relativeFrom="column">
                <wp:posOffset>0</wp:posOffset>
              </wp:positionH>
              <wp:positionV relativeFrom="paragraph">
                <wp:posOffset>-168275</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18FE9AA1" id="Group 3" o:spid="_x0000_s1026" alt="&quot;&quot;" style="position:absolute;margin-left:0;margin-top:-13.25pt;width:470.55pt;height:61.25pt;z-index:251659264"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sutK9N8A&#10;AAAHAQAADwAAAAAAAAAAAAAAAABjyAAAZHJzL2Rvd25yZXYueG1sUEsBAi0AFAAGAAgAAAAhABmU&#10;u8nDAAAApwEAABkAAAAAAAAAAAAAAAAAb8kAAGRycy9fcmVscy9lMm9Eb2MueG1sLnJlbHNQSwUG&#10;AAAAAAcABwDAAQAAa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04FF" w14:textId="77777777" w:rsidR="00076346" w:rsidRDefault="00076346"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B42"/>
    <w:multiLevelType w:val="hybridMultilevel"/>
    <w:tmpl w:val="27E28A82"/>
    <w:lvl w:ilvl="0" w:tplc="B3F2D16A">
      <w:start w:val="1"/>
      <w:numFmt w:val="bullet"/>
      <w:lvlText w:val=""/>
      <w:lvlJc w:val="left"/>
      <w:pPr>
        <w:ind w:left="720" w:hanging="360"/>
      </w:pPr>
      <w:rPr>
        <w:rFonts w:ascii="Wingdings" w:hAnsi="Wingdings" w:hint="default"/>
        <w:color w:val="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037C95"/>
    <w:multiLevelType w:val="hybridMultilevel"/>
    <w:tmpl w:val="E878E65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22349B6"/>
    <w:multiLevelType w:val="hybridMultilevel"/>
    <w:tmpl w:val="08F63D3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A2106"/>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BD7F21"/>
    <w:multiLevelType w:val="multilevel"/>
    <w:tmpl w:val="C5D881E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560"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2A42E05"/>
    <w:multiLevelType w:val="multilevel"/>
    <w:tmpl w:val="56AA431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02111E"/>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495E18"/>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4711E3"/>
    <w:multiLevelType w:val="multilevel"/>
    <w:tmpl w:val="92123F10"/>
    <w:lvl w:ilvl="0">
      <w:start w:val="1"/>
      <w:numFmt w:val="bullet"/>
      <w:lvlText w:val=""/>
      <w:lvlJc w:val="left"/>
      <w:pPr>
        <w:ind w:left="1134" w:hanging="1134"/>
      </w:pPr>
      <w:rPr>
        <w:rFonts w:ascii="Symbol" w:hAnsi="Symbol"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1A276D"/>
    <w:multiLevelType w:val="multilevel"/>
    <w:tmpl w:val="92123F10"/>
    <w:lvl w:ilvl="0">
      <w:start w:val="1"/>
      <w:numFmt w:val="bullet"/>
      <w:lvlText w:val=""/>
      <w:lvlJc w:val="left"/>
      <w:pPr>
        <w:ind w:left="1134" w:hanging="1134"/>
      </w:pPr>
      <w:rPr>
        <w:rFonts w:ascii="Symbol" w:hAnsi="Symbol"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75145"/>
    <w:multiLevelType w:val="multilevel"/>
    <w:tmpl w:val="C5D881E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0013685">
    <w:abstractNumId w:val="10"/>
  </w:num>
  <w:num w:numId="2" w16cid:durableId="227426317">
    <w:abstractNumId w:val="16"/>
  </w:num>
  <w:num w:numId="3" w16cid:durableId="799109092">
    <w:abstractNumId w:val="20"/>
  </w:num>
  <w:num w:numId="4" w16cid:durableId="34042008">
    <w:abstractNumId w:val="4"/>
  </w:num>
  <w:num w:numId="5" w16cid:durableId="506599239">
    <w:abstractNumId w:val="15"/>
  </w:num>
  <w:num w:numId="6" w16cid:durableId="1165827977">
    <w:abstractNumId w:val="18"/>
  </w:num>
  <w:num w:numId="7" w16cid:durableId="124855957">
    <w:abstractNumId w:val="6"/>
  </w:num>
  <w:num w:numId="8" w16cid:durableId="1691760562">
    <w:abstractNumId w:val="13"/>
  </w:num>
  <w:num w:numId="9" w16cid:durableId="1462530335">
    <w:abstractNumId w:val="23"/>
  </w:num>
  <w:num w:numId="10" w16cid:durableId="585847984">
    <w:abstractNumId w:val="1"/>
  </w:num>
  <w:num w:numId="11" w16cid:durableId="1581987976">
    <w:abstractNumId w:val="12"/>
  </w:num>
  <w:num w:numId="12" w16cid:durableId="1233657306">
    <w:abstractNumId w:val="7"/>
  </w:num>
  <w:num w:numId="13" w16cid:durableId="1647971322">
    <w:abstractNumId w:val="5"/>
  </w:num>
  <w:num w:numId="14" w16cid:durableId="1823037394">
    <w:abstractNumId w:val="11"/>
  </w:num>
  <w:num w:numId="15" w16cid:durableId="1339114321">
    <w:abstractNumId w:val="9"/>
  </w:num>
  <w:num w:numId="16" w16cid:durableId="177499818">
    <w:abstractNumId w:val="24"/>
  </w:num>
  <w:num w:numId="17" w16cid:durableId="938870180">
    <w:abstractNumId w:val="17"/>
  </w:num>
  <w:num w:numId="18" w16cid:durableId="1936477935">
    <w:abstractNumId w:val="8"/>
  </w:num>
  <w:num w:numId="19" w16cid:durableId="1259561051">
    <w:abstractNumId w:val="19"/>
  </w:num>
  <w:num w:numId="20" w16cid:durableId="1795174870">
    <w:abstractNumId w:val="22"/>
  </w:num>
  <w:num w:numId="21" w16cid:durableId="634338848">
    <w:abstractNumId w:val="0"/>
  </w:num>
  <w:num w:numId="22" w16cid:durableId="777485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7711263">
    <w:abstractNumId w:val="21"/>
  </w:num>
  <w:num w:numId="24" w16cid:durableId="1745371429">
    <w:abstractNumId w:val="2"/>
  </w:num>
  <w:num w:numId="25" w16cid:durableId="1736733032">
    <w:abstractNumId w:val="14"/>
  </w:num>
  <w:num w:numId="26" w16cid:durableId="177085258">
    <w:abstractNumId w:val="3"/>
  </w:num>
  <w:num w:numId="27" w16cid:durableId="204918356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72"/>
    <w:rsid w:val="000014FA"/>
    <w:rsid w:val="00005E44"/>
    <w:rsid w:val="00015EFC"/>
    <w:rsid w:val="00032882"/>
    <w:rsid w:val="00033ADA"/>
    <w:rsid w:val="00047CC5"/>
    <w:rsid w:val="00053CDD"/>
    <w:rsid w:val="00063BEB"/>
    <w:rsid w:val="000665B0"/>
    <w:rsid w:val="00076346"/>
    <w:rsid w:val="0009286A"/>
    <w:rsid w:val="00094FB7"/>
    <w:rsid w:val="000F560D"/>
    <w:rsid w:val="00110879"/>
    <w:rsid w:val="00117A37"/>
    <w:rsid w:val="00126ED8"/>
    <w:rsid w:val="00133406"/>
    <w:rsid w:val="001372BC"/>
    <w:rsid w:val="00137B4C"/>
    <w:rsid w:val="0014363B"/>
    <w:rsid w:val="00182901"/>
    <w:rsid w:val="0018348A"/>
    <w:rsid w:val="00186694"/>
    <w:rsid w:val="001946F0"/>
    <w:rsid w:val="001B214F"/>
    <w:rsid w:val="001C7986"/>
    <w:rsid w:val="001D1E17"/>
    <w:rsid w:val="001D2701"/>
    <w:rsid w:val="001E584C"/>
    <w:rsid w:val="001E685F"/>
    <w:rsid w:val="001F64C6"/>
    <w:rsid w:val="00201DAA"/>
    <w:rsid w:val="0022579D"/>
    <w:rsid w:val="00225AB9"/>
    <w:rsid w:val="00250FB0"/>
    <w:rsid w:val="00254FFE"/>
    <w:rsid w:val="002F67DE"/>
    <w:rsid w:val="00300587"/>
    <w:rsid w:val="0030247B"/>
    <w:rsid w:val="00314795"/>
    <w:rsid w:val="00314BC8"/>
    <w:rsid w:val="00324D0B"/>
    <w:rsid w:val="00331F09"/>
    <w:rsid w:val="00343A4F"/>
    <w:rsid w:val="00364D55"/>
    <w:rsid w:val="00371FC0"/>
    <w:rsid w:val="00375DF6"/>
    <w:rsid w:val="003771EC"/>
    <w:rsid w:val="00391626"/>
    <w:rsid w:val="0039715A"/>
    <w:rsid w:val="003A0076"/>
    <w:rsid w:val="003A663C"/>
    <w:rsid w:val="003B0CB5"/>
    <w:rsid w:val="003C6732"/>
    <w:rsid w:val="003C6E42"/>
    <w:rsid w:val="003E39B4"/>
    <w:rsid w:val="004266CB"/>
    <w:rsid w:val="004505B9"/>
    <w:rsid w:val="00494C18"/>
    <w:rsid w:val="004A1ADD"/>
    <w:rsid w:val="004A2F47"/>
    <w:rsid w:val="004A4C30"/>
    <w:rsid w:val="004B2F5A"/>
    <w:rsid w:val="004D5CFA"/>
    <w:rsid w:val="004E5F32"/>
    <w:rsid w:val="004E6155"/>
    <w:rsid w:val="004F4D2D"/>
    <w:rsid w:val="00514203"/>
    <w:rsid w:val="00525AF6"/>
    <w:rsid w:val="00546A28"/>
    <w:rsid w:val="00562866"/>
    <w:rsid w:val="005A0267"/>
    <w:rsid w:val="005C2EF3"/>
    <w:rsid w:val="00603D72"/>
    <w:rsid w:val="00610177"/>
    <w:rsid w:val="006134A1"/>
    <w:rsid w:val="006606C1"/>
    <w:rsid w:val="00664100"/>
    <w:rsid w:val="0068694C"/>
    <w:rsid w:val="006A3B30"/>
    <w:rsid w:val="006B3E9C"/>
    <w:rsid w:val="006F36FD"/>
    <w:rsid w:val="00706434"/>
    <w:rsid w:val="00716D9A"/>
    <w:rsid w:val="00732AFE"/>
    <w:rsid w:val="00741D9B"/>
    <w:rsid w:val="007605E4"/>
    <w:rsid w:val="00764CEA"/>
    <w:rsid w:val="00781F15"/>
    <w:rsid w:val="00786D48"/>
    <w:rsid w:val="00795B02"/>
    <w:rsid w:val="00796A11"/>
    <w:rsid w:val="007E6584"/>
    <w:rsid w:val="007F025B"/>
    <w:rsid w:val="00800305"/>
    <w:rsid w:val="0082005E"/>
    <w:rsid w:val="00826D33"/>
    <w:rsid w:val="008344D6"/>
    <w:rsid w:val="00843CF9"/>
    <w:rsid w:val="00844D34"/>
    <w:rsid w:val="008507F0"/>
    <w:rsid w:val="008547E5"/>
    <w:rsid w:val="00856D12"/>
    <w:rsid w:val="00865CDE"/>
    <w:rsid w:val="008863AF"/>
    <w:rsid w:val="008A0ED9"/>
    <w:rsid w:val="008A25E0"/>
    <w:rsid w:val="008A5783"/>
    <w:rsid w:val="008B0894"/>
    <w:rsid w:val="008C597D"/>
    <w:rsid w:val="008D034C"/>
    <w:rsid w:val="008E4397"/>
    <w:rsid w:val="008E69F4"/>
    <w:rsid w:val="009102C2"/>
    <w:rsid w:val="00911C7E"/>
    <w:rsid w:val="00921A1A"/>
    <w:rsid w:val="009255AA"/>
    <w:rsid w:val="00947B79"/>
    <w:rsid w:val="0096475D"/>
    <w:rsid w:val="00967546"/>
    <w:rsid w:val="00994D9D"/>
    <w:rsid w:val="009A11E4"/>
    <w:rsid w:val="009A7716"/>
    <w:rsid w:val="009B6373"/>
    <w:rsid w:val="009C506B"/>
    <w:rsid w:val="009C523D"/>
    <w:rsid w:val="009D1227"/>
    <w:rsid w:val="009D4B27"/>
    <w:rsid w:val="009D5F17"/>
    <w:rsid w:val="009F46DD"/>
    <w:rsid w:val="009F76DB"/>
    <w:rsid w:val="009F7CDD"/>
    <w:rsid w:val="00A12F26"/>
    <w:rsid w:val="00A16E5D"/>
    <w:rsid w:val="00A23003"/>
    <w:rsid w:val="00A3766C"/>
    <w:rsid w:val="00A473DA"/>
    <w:rsid w:val="00A55545"/>
    <w:rsid w:val="00A6485C"/>
    <w:rsid w:val="00A83F22"/>
    <w:rsid w:val="00AA32C2"/>
    <w:rsid w:val="00AA79FC"/>
    <w:rsid w:val="00AD0F90"/>
    <w:rsid w:val="00AD6FC0"/>
    <w:rsid w:val="00AE3317"/>
    <w:rsid w:val="00B047A2"/>
    <w:rsid w:val="00B146EC"/>
    <w:rsid w:val="00B218EE"/>
    <w:rsid w:val="00B31CD9"/>
    <w:rsid w:val="00B420E7"/>
    <w:rsid w:val="00B432CC"/>
    <w:rsid w:val="00B50547"/>
    <w:rsid w:val="00B74953"/>
    <w:rsid w:val="00B80EAE"/>
    <w:rsid w:val="00BB1DEB"/>
    <w:rsid w:val="00BF596E"/>
    <w:rsid w:val="00C05A06"/>
    <w:rsid w:val="00C0647A"/>
    <w:rsid w:val="00C176AF"/>
    <w:rsid w:val="00C23A31"/>
    <w:rsid w:val="00C23E86"/>
    <w:rsid w:val="00C31806"/>
    <w:rsid w:val="00C323F0"/>
    <w:rsid w:val="00C4088C"/>
    <w:rsid w:val="00C819CD"/>
    <w:rsid w:val="00D17267"/>
    <w:rsid w:val="00D359CF"/>
    <w:rsid w:val="00D40308"/>
    <w:rsid w:val="00D478CE"/>
    <w:rsid w:val="00D551A0"/>
    <w:rsid w:val="00D56619"/>
    <w:rsid w:val="00D627A4"/>
    <w:rsid w:val="00D65004"/>
    <w:rsid w:val="00D676C4"/>
    <w:rsid w:val="00D70F30"/>
    <w:rsid w:val="00D85EC4"/>
    <w:rsid w:val="00D9038F"/>
    <w:rsid w:val="00DA1884"/>
    <w:rsid w:val="00DA1DBD"/>
    <w:rsid w:val="00DB1144"/>
    <w:rsid w:val="00DB36E6"/>
    <w:rsid w:val="00DC2F69"/>
    <w:rsid w:val="00DC37E7"/>
    <w:rsid w:val="00DD7B4B"/>
    <w:rsid w:val="00DE195D"/>
    <w:rsid w:val="00DE3EFB"/>
    <w:rsid w:val="00E13040"/>
    <w:rsid w:val="00E23D89"/>
    <w:rsid w:val="00E70C20"/>
    <w:rsid w:val="00E90CB2"/>
    <w:rsid w:val="00E91D68"/>
    <w:rsid w:val="00EB2B4A"/>
    <w:rsid w:val="00EB3F99"/>
    <w:rsid w:val="00EB44FF"/>
    <w:rsid w:val="00EB4AAB"/>
    <w:rsid w:val="00EB783D"/>
    <w:rsid w:val="00ED7806"/>
    <w:rsid w:val="00F14F7D"/>
    <w:rsid w:val="00F40D75"/>
    <w:rsid w:val="00F45636"/>
    <w:rsid w:val="00F55A88"/>
    <w:rsid w:val="00F913CD"/>
    <w:rsid w:val="00FA1188"/>
    <w:rsid w:val="00FB10CD"/>
    <w:rsid w:val="00FB3C48"/>
    <w:rsid w:val="00FB5878"/>
    <w:rsid w:val="00FC5C8E"/>
    <w:rsid w:val="00FC7C60"/>
    <w:rsid w:val="00FD2B5D"/>
    <w:rsid w:val="00FD3475"/>
    <w:rsid w:val="00FD6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30B00"/>
  <w15:docId w15:val="{4DD3462C-4FC1-44AE-ADAA-3ED4D6A3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ind w:left="1134"/>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9"/>
      </w:numPr>
      <w:contextualSpacing/>
    </w:pPr>
    <w:rPr>
      <w:rFonts w:cs="Times New Roman (Body CS)"/>
    </w:rPr>
  </w:style>
  <w:style w:type="paragraph" w:customStyle="1" w:styleId="Style1">
    <w:name w:val="Style1"/>
    <w:basedOn w:val="Heading3"/>
    <w:qFormat/>
    <w:rsid w:val="00A3766C"/>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F4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midandsouthessex.ics.nhs.uk/about/corporate/gender-pay-gap/" TargetMode="External"/><Relationship Id="rId10" Type="http://schemas.openxmlformats.org/officeDocument/2006/relationships/endnotes" Target="endnotes.xml"/><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Downloads\MSE%20ICS%20Policy%20Template.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BFD99E-5BE5-459D-B60C-D94E69F8672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a69fdf-07a1-4535-917f-f731e83d1ce8">
      <Terms xmlns="http://schemas.microsoft.com/office/infopath/2007/PartnerControls"/>
    </lcf76f155ced4ddcb4097134ff3c332f>
    <TaxCatchAll xmlns="9f7c630f-7b21-41af-8e66-c00e7f0a0ae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728A07F-B0B0-4546-8F45-3DD01F25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3DECA-87C2-4269-B3D9-F1FB0978E7BD}">
  <ds:schemaRefs>
    <ds:schemaRef ds:uri="http://schemas.microsoft.com/sharepoint/v3/contenttype/forms"/>
  </ds:schemaRefs>
</ds:datastoreItem>
</file>

<file path=customXml/itemProps3.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4.xml><?xml version="1.0" encoding="utf-8"?>
<ds:datastoreItem xmlns:ds="http://schemas.openxmlformats.org/officeDocument/2006/customXml" ds:itemID="{6038553A-3C5B-4689-AD5B-A36A1E4981CB}">
  <ds:schemaRefs>
    <ds:schemaRef ds:uri="http://schemas.microsoft.com/office/2006/metadata/properties"/>
    <ds:schemaRef ds:uri="http://schemas.microsoft.com/office/infopath/2007/PartnerControls"/>
    <ds:schemaRef ds:uri="50a69fdf-07a1-4535-917f-f731e83d1ce8"/>
    <ds:schemaRef ds:uri="9f7c630f-7b21-41af-8e66-c00e7f0a0ae0"/>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Template>
  <TotalTime>20</TotalTime>
  <Pages>1</Pages>
  <Words>1236</Words>
  <Characters>6765</Characters>
  <Application>Microsoft Office Word</Application>
  <DocSecurity>0</DocSecurity>
  <Lines>241</Lines>
  <Paragraphs>62</Paragraphs>
  <ScaleCrop>false</ScaleCrop>
  <HeadingPairs>
    <vt:vector size="2" baseType="variant">
      <vt:variant>
        <vt:lpstr>Title</vt:lpstr>
      </vt:variant>
      <vt:variant>
        <vt:i4>1</vt:i4>
      </vt:variant>
    </vt:vector>
  </HeadingPairs>
  <TitlesOfParts>
    <vt:vector size="1" baseType="lpstr">
      <vt:lpstr>Policy for Developing Polices / v.1.0</vt:lpstr>
    </vt:vector>
  </TitlesOfParts>
  <Manager/>
  <Company/>
  <LinksUpToDate>false</LinksUpToDate>
  <CharactersWithSpaces>7939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Nicola (07G) Thurrock CCG</dc:creator>
  <cp:keywords/>
  <dc:description/>
  <cp:lastModifiedBy>ADAMS, Nicola (NHS MID AND SOUTH ESSEX ICB - 07G)</cp:lastModifiedBy>
  <cp:revision>5</cp:revision>
  <cp:lastPrinted>2021-12-03T14:01:00Z</cp:lastPrinted>
  <dcterms:created xsi:type="dcterms:W3CDTF">2024-11-20T10:40:00Z</dcterms:created>
  <dcterms:modified xsi:type="dcterms:W3CDTF">2024-11-20T14:45:00Z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0x0101002E5D983C6DD6CA4FB798FFE5ED97F751</vt:lpwstr>
  </property>
  <property fmtid="{D5CDD505-2E9C-101B-9397-08002B2CF9AE}" pid="4" name="IntranetKeywords">
    <vt:lpwstr>6;#MSE|e2a38f45-20b0-427a-808a-97dee85b2f9f</vt:lpwstr>
  </property>
</Properties>
</file>