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CD9B" w14:textId="77777777" w:rsidR="00417CB8" w:rsidRDefault="00417CB8" w:rsidP="00417CB8">
      <w:pPr>
        <w:pStyle w:val="Title"/>
        <w:spacing w:before="3480"/>
        <w:contextualSpacing w:val="0"/>
      </w:pPr>
      <w:bookmarkStart w:id="0" w:name="_Toc88478171"/>
    </w:p>
    <w:p w14:paraId="14ACB7D8" w14:textId="4C863212" w:rsidR="003A663C" w:rsidRPr="003A663C" w:rsidRDefault="0013779C" w:rsidP="00417CB8">
      <w:pPr>
        <w:pStyle w:val="Title"/>
        <w:spacing w:before="3480"/>
        <w:contextualSpacing w:val="0"/>
      </w:pPr>
      <w:r>
        <w:t xml:space="preserve">Management of </w:t>
      </w:r>
      <w:r w:rsidR="000B725B">
        <w:t>V</w:t>
      </w:r>
      <w:r>
        <w:t>iolence</w:t>
      </w:r>
      <w:r w:rsidR="000B725B">
        <w:t>, A</w:t>
      </w:r>
      <w:r>
        <w:t xml:space="preserve">ggression </w:t>
      </w:r>
      <w:r w:rsidR="000B725B">
        <w:t xml:space="preserve">and </w:t>
      </w:r>
      <w:r w:rsidR="00FC1C25">
        <w:t>Vexatious</w:t>
      </w:r>
      <w:r w:rsidR="000B725B">
        <w:t xml:space="preserve"> Behaviour </w:t>
      </w:r>
      <w:r>
        <w:t>Policy</w:t>
      </w:r>
      <w:r w:rsidR="003A663C">
        <w:br w:type="page"/>
      </w:r>
    </w:p>
    <w:p w14:paraId="4115932A" w14:textId="77777777" w:rsidR="00FD2B5D" w:rsidRDefault="00FD2B5D" w:rsidP="00FD2B5D">
      <w:pPr>
        <w:pStyle w:val="Heading1"/>
      </w:pPr>
      <w:r w:rsidRPr="00DA22B6">
        <w:t>Document Control:</w:t>
      </w:r>
      <w:bookmarkEnd w:id="0"/>
    </w:p>
    <w:tbl>
      <w:tblPr>
        <w:tblStyle w:val="TableGrid"/>
        <w:tblW w:w="9072" w:type="dxa"/>
        <w:tblInd w:w="-5" w:type="dxa"/>
        <w:tblLook w:val="04A0" w:firstRow="1" w:lastRow="0" w:firstColumn="1" w:lastColumn="0" w:noHBand="0" w:noVBand="1"/>
      </w:tblPr>
      <w:tblGrid>
        <w:gridCol w:w="4395"/>
        <w:gridCol w:w="4677"/>
      </w:tblGrid>
      <w:tr w:rsidR="009A3207" w:rsidRPr="009A3207" w14:paraId="3CF23C46" w14:textId="77777777" w:rsidTr="009A3207">
        <w:trPr>
          <w:tblHeader/>
        </w:trPr>
        <w:tc>
          <w:tcPr>
            <w:tcW w:w="4395" w:type="dxa"/>
            <w:shd w:val="clear" w:color="auto" w:fill="003087" w:themeFill="accent1"/>
          </w:tcPr>
          <w:p w14:paraId="1F31723D" w14:textId="3DBCEDF4" w:rsidR="009A3207" w:rsidRPr="009A3207" w:rsidRDefault="009A3207" w:rsidP="0013779C">
            <w:pPr>
              <w:spacing w:before="0" w:after="0"/>
              <w:ind w:left="0"/>
              <w:rPr>
                <w:b/>
                <w:bCs/>
                <w:color w:val="FFFFFF" w:themeColor="background1"/>
              </w:rPr>
            </w:pPr>
            <w:r w:rsidRPr="009A3207">
              <w:rPr>
                <w:b/>
                <w:bCs/>
                <w:color w:val="FFFFFF" w:themeColor="background1"/>
              </w:rPr>
              <w:t xml:space="preserve">Document Control Information </w:t>
            </w:r>
          </w:p>
        </w:tc>
        <w:tc>
          <w:tcPr>
            <w:tcW w:w="4677" w:type="dxa"/>
          </w:tcPr>
          <w:p w14:paraId="46F84169" w14:textId="54FDB11E" w:rsidR="009A3207" w:rsidRPr="009A3207" w:rsidRDefault="009A3207" w:rsidP="0013779C">
            <w:pPr>
              <w:spacing w:before="0" w:after="0"/>
              <w:ind w:left="0"/>
              <w:rPr>
                <w:b/>
                <w:bCs/>
              </w:rPr>
            </w:pPr>
            <w:r w:rsidRPr="009A3207">
              <w:rPr>
                <w:b/>
                <w:bCs/>
              </w:rPr>
              <w:t>Details</w:t>
            </w:r>
          </w:p>
        </w:tc>
      </w:tr>
      <w:tr w:rsidR="0013779C" w:rsidRPr="00777E05" w14:paraId="30F1AEDA" w14:textId="77777777" w:rsidTr="00126ED8">
        <w:tc>
          <w:tcPr>
            <w:tcW w:w="4395" w:type="dxa"/>
            <w:shd w:val="clear" w:color="auto" w:fill="003087" w:themeFill="accent1"/>
          </w:tcPr>
          <w:p w14:paraId="2425D697" w14:textId="77777777" w:rsidR="0013779C" w:rsidRPr="00777E05" w:rsidRDefault="0013779C" w:rsidP="0013779C">
            <w:pPr>
              <w:spacing w:before="0" w:after="0"/>
              <w:ind w:left="0"/>
              <w:rPr>
                <w:color w:val="FFFFFF" w:themeColor="background1"/>
              </w:rPr>
            </w:pPr>
            <w:r w:rsidRPr="00777E05">
              <w:rPr>
                <w:color w:val="FFFFFF" w:themeColor="background1"/>
              </w:rPr>
              <w:t>Policy Name</w:t>
            </w:r>
          </w:p>
        </w:tc>
        <w:tc>
          <w:tcPr>
            <w:tcW w:w="4677" w:type="dxa"/>
          </w:tcPr>
          <w:p w14:paraId="5AA617F3" w14:textId="2E417CCF" w:rsidR="0013779C" w:rsidRPr="00777E05" w:rsidRDefault="0013779C" w:rsidP="0013779C">
            <w:pPr>
              <w:spacing w:before="0" w:after="0"/>
              <w:ind w:left="0"/>
            </w:pPr>
            <w:r w:rsidRPr="00800162">
              <w:t>Management of Violence and Aggression</w:t>
            </w:r>
            <w:r w:rsidR="00491763">
              <w:t xml:space="preserve"> and Vexatious Behaviour Policy</w:t>
            </w:r>
          </w:p>
        </w:tc>
      </w:tr>
      <w:tr w:rsidR="0013779C" w:rsidRPr="00777E05" w14:paraId="518891C4" w14:textId="77777777" w:rsidTr="00126ED8">
        <w:tc>
          <w:tcPr>
            <w:tcW w:w="4395" w:type="dxa"/>
            <w:shd w:val="clear" w:color="auto" w:fill="003087" w:themeFill="accent1"/>
          </w:tcPr>
          <w:p w14:paraId="42CDB869" w14:textId="77777777" w:rsidR="0013779C" w:rsidRPr="00777E05" w:rsidRDefault="0013779C" w:rsidP="0013779C">
            <w:pPr>
              <w:spacing w:before="0" w:after="0"/>
              <w:ind w:left="0"/>
              <w:rPr>
                <w:color w:val="FFFFFF" w:themeColor="background1"/>
              </w:rPr>
            </w:pPr>
            <w:r w:rsidRPr="00777E05">
              <w:rPr>
                <w:color w:val="FFFFFF" w:themeColor="background1"/>
              </w:rPr>
              <w:t>Policy Number</w:t>
            </w:r>
          </w:p>
        </w:tc>
        <w:tc>
          <w:tcPr>
            <w:tcW w:w="4677" w:type="dxa"/>
          </w:tcPr>
          <w:p w14:paraId="69287E77" w14:textId="215DDC34" w:rsidR="0013779C" w:rsidRPr="00777E05" w:rsidRDefault="00C12247" w:rsidP="0013779C">
            <w:pPr>
              <w:spacing w:before="0" w:after="0"/>
              <w:ind w:left="0"/>
            </w:pPr>
            <w:r>
              <w:t>MSEICB</w:t>
            </w:r>
            <w:r w:rsidR="00491763">
              <w:t xml:space="preserve"> </w:t>
            </w:r>
            <w:r>
              <w:t>025</w:t>
            </w:r>
          </w:p>
        </w:tc>
      </w:tr>
      <w:tr w:rsidR="0013779C" w:rsidRPr="00777E05" w14:paraId="4E4F929C" w14:textId="77777777" w:rsidTr="00126ED8">
        <w:tc>
          <w:tcPr>
            <w:tcW w:w="4395" w:type="dxa"/>
            <w:shd w:val="clear" w:color="auto" w:fill="003087" w:themeFill="accent1"/>
          </w:tcPr>
          <w:p w14:paraId="7F4CF3AD" w14:textId="77777777" w:rsidR="0013779C" w:rsidRPr="00777E05" w:rsidRDefault="0013779C" w:rsidP="0013779C">
            <w:pPr>
              <w:spacing w:before="0" w:after="0"/>
              <w:ind w:left="0"/>
              <w:rPr>
                <w:color w:val="FFFFFF" w:themeColor="background1"/>
              </w:rPr>
            </w:pPr>
            <w:r w:rsidRPr="00777E05">
              <w:rPr>
                <w:color w:val="FFFFFF" w:themeColor="background1"/>
              </w:rPr>
              <w:t>Version</w:t>
            </w:r>
          </w:p>
        </w:tc>
        <w:tc>
          <w:tcPr>
            <w:tcW w:w="4677" w:type="dxa"/>
          </w:tcPr>
          <w:p w14:paraId="462D2E21" w14:textId="611B20CD" w:rsidR="0013779C" w:rsidRPr="00777E05" w:rsidRDefault="00417CB8" w:rsidP="0013779C">
            <w:pPr>
              <w:spacing w:before="0" w:after="0"/>
              <w:ind w:left="0"/>
            </w:pPr>
            <w:r>
              <w:t>1.0</w:t>
            </w:r>
          </w:p>
        </w:tc>
      </w:tr>
      <w:tr w:rsidR="0013779C" w:rsidRPr="00777E05" w14:paraId="4FAA9229" w14:textId="77777777" w:rsidTr="00126ED8">
        <w:tc>
          <w:tcPr>
            <w:tcW w:w="4395" w:type="dxa"/>
            <w:shd w:val="clear" w:color="auto" w:fill="003087" w:themeFill="accent1"/>
          </w:tcPr>
          <w:p w14:paraId="5DB856B8" w14:textId="77777777" w:rsidR="0013779C" w:rsidRPr="00777E05" w:rsidRDefault="0013779C" w:rsidP="0013779C">
            <w:pPr>
              <w:spacing w:before="0" w:after="0"/>
              <w:ind w:left="0"/>
              <w:rPr>
                <w:color w:val="FFFFFF" w:themeColor="background1"/>
              </w:rPr>
            </w:pPr>
            <w:r w:rsidRPr="00777E05">
              <w:rPr>
                <w:color w:val="FFFFFF" w:themeColor="background1"/>
              </w:rPr>
              <w:t>Status</w:t>
            </w:r>
          </w:p>
        </w:tc>
        <w:tc>
          <w:tcPr>
            <w:tcW w:w="4677" w:type="dxa"/>
          </w:tcPr>
          <w:p w14:paraId="03E3A7D7" w14:textId="4F2711A5" w:rsidR="0013779C" w:rsidRPr="00777E05" w:rsidRDefault="00417CB8" w:rsidP="0013779C">
            <w:pPr>
              <w:spacing w:before="0" w:after="0"/>
              <w:ind w:left="0"/>
            </w:pPr>
            <w:r>
              <w:t>Approved Final Version</w:t>
            </w:r>
          </w:p>
        </w:tc>
      </w:tr>
      <w:tr w:rsidR="0013779C" w:rsidRPr="00777E05" w14:paraId="005F188D" w14:textId="77777777" w:rsidTr="00126ED8">
        <w:tc>
          <w:tcPr>
            <w:tcW w:w="4395" w:type="dxa"/>
            <w:shd w:val="clear" w:color="auto" w:fill="003087" w:themeFill="accent1"/>
          </w:tcPr>
          <w:p w14:paraId="5DB60B6E" w14:textId="77777777" w:rsidR="0013779C" w:rsidRPr="00777E05" w:rsidRDefault="0013779C" w:rsidP="0013779C">
            <w:pPr>
              <w:spacing w:before="0" w:after="0"/>
              <w:ind w:left="0"/>
              <w:rPr>
                <w:color w:val="FFFFFF" w:themeColor="background1"/>
              </w:rPr>
            </w:pPr>
            <w:r w:rsidRPr="00777E05">
              <w:rPr>
                <w:color w:val="FFFFFF" w:themeColor="background1"/>
              </w:rPr>
              <w:t>Author / Lead</w:t>
            </w:r>
          </w:p>
        </w:tc>
        <w:tc>
          <w:tcPr>
            <w:tcW w:w="4677" w:type="dxa"/>
          </w:tcPr>
          <w:p w14:paraId="2BE16151" w14:textId="2E392E9E" w:rsidR="0013779C" w:rsidRPr="00777E05" w:rsidRDefault="0013779C" w:rsidP="0013779C">
            <w:pPr>
              <w:spacing w:before="0" w:after="0"/>
              <w:ind w:left="0"/>
            </w:pPr>
            <w:r w:rsidRPr="00800162">
              <w:t>Julie Hill, Lead Security Management Specialist</w:t>
            </w:r>
          </w:p>
        </w:tc>
      </w:tr>
      <w:tr w:rsidR="0013779C" w:rsidRPr="00777E05" w14:paraId="27759212" w14:textId="77777777" w:rsidTr="00126ED8">
        <w:tc>
          <w:tcPr>
            <w:tcW w:w="4395" w:type="dxa"/>
            <w:shd w:val="clear" w:color="auto" w:fill="003087" w:themeFill="accent1"/>
          </w:tcPr>
          <w:p w14:paraId="5B3D8E92" w14:textId="77777777" w:rsidR="0013779C" w:rsidRPr="00777E05" w:rsidRDefault="0013779C" w:rsidP="0013779C">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335D8B94" w:rsidR="0013779C" w:rsidRPr="00777E05" w:rsidRDefault="0013779C" w:rsidP="0013779C">
            <w:pPr>
              <w:spacing w:before="0" w:after="0"/>
              <w:ind w:left="0"/>
            </w:pPr>
            <w:r w:rsidRPr="009047A7">
              <w:t>Director of Resources</w:t>
            </w:r>
          </w:p>
        </w:tc>
      </w:tr>
      <w:tr w:rsidR="0013779C" w:rsidRPr="00777E05" w14:paraId="288D5A50" w14:textId="77777777" w:rsidTr="00126ED8">
        <w:tc>
          <w:tcPr>
            <w:tcW w:w="4395" w:type="dxa"/>
            <w:shd w:val="clear" w:color="auto" w:fill="003087" w:themeFill="accent1"/>
          </w:tcPr>
          <w:p w14:paraId="64718F55" w14:textId="77777777" w:rsidR="0013779C" w:rsidRPr="00777E05" w:rsidRDefault="0013779C" w:rsidP="0013779C">
            <w:pPr>
              <w:spacing w:before="0" w:after="0"/>
              <w:ind w:left="0"/>
              <w:rPr>
                <w:color w:val="FFFFFF" w:themeColor="background1"/>
              </w:rPr>
            </w:pPr>
            <w:r w:rsidRPr="00777E05">
              <w:rPr>
                <w:color w:val="FFFFFF" w:themeColor="background1"/>
              </w:rPr>
              <w:t>Responsible Committee</w:t>
            </w:r>
          </w:p>
        </w:tc>
        <w:tc>
          <w:tcPr>
            <w:tcW w:w="4677" w:type="dxa"/>
          </w:tcPr>
          <w:p w14:paraId="7394A510" w14:textId="43DEAFA2" w:rsidR="0013779C" w:rsidRPr="00777E05" w:rsidRDefault="0013779C" w:rsidP="0013779C">
            <w:pPr>
              <w:spacing w:before="0" w:after="0"/>
              <w:ind w:left="0"/>
              <w:rPr>
                <w:color w:val="auto"/>
              </w:rPr>
            </w:pPr>
            <w:r w:rsidRPr="00800162">
              <w:t>Audit Committee</w:t>
            </w:r>
          </w:p>
        </w:tc>
      </w:tr>
      <w:tr w:rsidR="0013779C" w:rsidRPr="00777E05" w14:paraId="749B417D" w14:textId="77777777" w:rsidTr="00126ED8">
        <w:tc>
          <w:tcPr>
            <w:tcW w:w="4395" w:type="dxa"/>
            <w:shd w:val="clear" w:color="auto" w:fill="003087" w:themeFill="accent1"/>
          </w:tcPr>
          <w:p w14:paraId="51CE8082" w14:textId="77777777" w:rsidR="0013779C" w:rsidRPr="00777E05" w:rsidRDefault="0013779C" w:rsidP="0013779C">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3EB304D9" w:rsidR="0013779C" w:rsidRPr="00777E05" w:rsidRDefault="0013779C" w:rsidP="0013779C">
            <w:pPr>
              <w:spacing w:before="0" w:after="0"/>
              <w:ind w:left="0"/>
              <w:rPr>
                <w:color w:val="auto"/>
                <w:highlight w:val="yellow"/>
              </w:rPr>
            </w:pPr>
            <w:r w:rsidRPr="00800162">
              <w:t>20 May 2022</w:t>
            </w:r>
          </w:p>
        </w:tc>
      </w:tr>
      <w:tr w:rsidR="0013779C" w:rsidRPr="00777E05" w14:paraId="3BA85B1A" w14:textId="77777777" w:rsidTr="00126ED8">
        <w:tc>
          <w:tcPr>
            <w:tcW w:w="4395" w:type="dxa"/>
            <w:shd w:val="clear" w:color="auto" w:fill="003087" w:themeFill="accent1"/>
          </w:tcPr>
          <w:p w14:paraId="032C497B" w14:textId="77777777" w:rsidR="0013779C" w:rsidRPr="00777E05" w:rsidRDefault="0013779C" w:rsidP="0013779C">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18C14F05" w:rsidR="0013779C" w:rsidRPr="00777E05" w:rsidRDefault="0013779C" w:rsidP="0013779C">
            <w:pPr>
              <w:spacing w:before="0" w:after="0"/>
              <w:ind w:left="0"/>
              <w:rPr>
                <w:color w:val="auto"/>
                <w:highlight w:val="yellow"/>
              </w:rPr>
            </w:pPr>
            <w:r w:rsidRPr="00800162">
              <w:t>1 July 2022</w:t>
            </w:r>
          </w:p>
        </w:tc>
      </w:tr>
      <w:tr w:rsidR="0013779C" w:rsidRPr="00777E05" w14:paraId="1A94530E" w14:textId="77777777" w:rsidTr="00126ED8">
        <w:tc>
          <w:tcPr>
            <w:tcW w:w="4395" w:type="dxa"/>
            <w:shd w:val="clear" w:color="auto" w:fill="003087" w:themeFill="accent1"/>
          </w:tcPr>
          <w:p w14:paraId="44BBD69A" w14:textId="77777777" w:rsidR="0013779C" w:rsidRPr="00D40308" w:rsidRDefault="0013779C" w:rsidP="0013779C">
            <w:pPr>
              <w:spacing w:before="0" w:after="0"/>
              <w:ind w:left="0"/>
              <w:rPr>
                <w:color w:val="FFFFFF" w:themeColor="background1"/>
              </w:rPr>
            </w:pPr>
            <w:r w:rsidRPr="00D40308">
              <w:rPr>
                <w:color w:val="FFFFFF" w:themeColor="background1"/>
              </w:rPr>
              <w:t>Next Review Date</w:t>
            </w:r>
          </w:p>
        </w:tc>
        <w:tc>
          <w:tcPr>
            <w:tcW w:w="4677" w:type="dxa"/>
          </w:tcPr>
          <w:p w14:paraId="7524A9D5" w14:textId="06B0D6B7" w:rsidR="0013779C" w:rsidRPr="00D40308" w:rsidRDefault="0013779C" w:rsidP="0013779C">
            <w:pPr>
              <w:spacing w:before="0" w:after="0"/>
              <w:ind w:left="0"/>
              <w:rPr>
                <w:color w:val="auto"/>
              </w:rPr>
            </w:pPr>
            <w:r w:rsidRPr="00800162">
              <w:t>1 July 2024</w:t>
            </w:r>
          </w:p>
        </w:tc>
      </w:tr>
      <w:tr w:rsidR="0013779C" w:rsidRPr="00777E05" w14:paraId="0DAC8D34" w14:textId="77777777" w:rsidTr="00126ED8">
        <w:tc>
          <w:tcPr>
            <w:tcW w:w="4395" w:type="dxa"/>
            <w:shd w:val="clear" w:color="auto" w:fill="003087" w:themeFill="accent1"/>
          </w:tcPr>
          <w:p w14:paraId="47431188" w14:textId="77777777" w:rsidR="0013779C" w:rsidRPr="00777E05" w:rsidRDefault="0013779C" w:rsidP="0013779C">
            <w:pPr>
              <w:spacing w:before="0" w:after="0"/>
              <w:ind w:left="0"/>
              <w:rPr>
                <w:color w:val="FFFFFF" w:themeColor="background1"/>
              </w:rPr>
            </w:pPr>
            <w:r w:rsidRPr="00777E05">
              <w:rPr>
                <w:color w:val="FFFFFF" w:themeColor="background1"/>
              </w:rPr>
              <w:t>Target Audience</w:t>
            </w:r>
          </w:p>
        </w:tc>
        <w:tc>
          <w:tcPr>
            <w:tcW w:w="4677" w:type="dxa"/>
          </w:tcPr>
          <w:p w14:paraId="67A86881" w14:textId="77777777" w:rsidR="0013779C" w:rsidRDefault="0013779C" w:rsidP="00FA1183">
            <w:pPr>
              <w:pStyle w:val="ListParagraph"/>
              <w:numPr>
                <w:ilvl w:val="0"/>
                <w:numId w:val="13"/>
              </w:numPr>
              <w:spacing w:before="0"/>
              <w:ind w:left="320" w:hanging="284"/>
            </w:pPr>
            <w:r>
              <w:t>MSE ICB staff (including temporary/bank/agency staff)</w:t>
            </w:r>
          </w:p>
          <w:p w14:paraId="3435B83E" w14:textId="77777777" w:rsidR="0013779C" w:rsidRDefault="0013779C" w:rsidP="00FA1183">
            <w:pPr>
              <w:pStyle w:val="ListParagraph"/>
              <w:numPr>
                <w:ilvl w:val="0"/>
                <w:numId w:val="13"/>
              </w:numPr>
              <w:spacing w:before="0"/>
              <w:ind w:left="320" w:hanging="284"/>
            </w:pPr>
            <w:r>
              <w:t>Contractors engaged by the ICS Body</w:t>
            </w:r>
          </w:p>
          <w:p w14:paraId="73047940" w14:textId="1C2AE23B" w:rsidR="0013779C" w:rsidRPr="0013779C" w:rsidRDefault="0013779C" w:rsidP="00FA1183">
            <w:pPr>
              <w:pStyle w:val="ListParagraph"/>
              <w:numPr>
                <w:ilvl w:val="0"/>
                <w:numId w:val="13"/>
              </w:numPr>
              <w:spacing w:before="0" w:after="0"/>
              <w:ind w:left="318" w:hanging="284"/>
            </w:pPr>
            <w:r>
              <w:t>Staff from other MSE ICS Partnership organisations who are members of ICB Committees and other groups</w:t>
            </w:r>
          </w:p>
        </w:tc>
      </w:tr>
      <w:tr w:rsidR="0013779C" w:rsidRPr="00777E05" w14:paraId="2B2425C9" w14:textId="77777777" w:rsidTr="00126ED8">
        <w:tc>
          <w:tcPr>
            <w:tcW w:w="4395" w:type="dxa"/>
            <w:shd w:val="clear" w:color="auto" w:fill="003087" w:themeFill="accent1"/>
          </w:tcPr>
          <w:p w14:paraId="2FB1CE98" w14:textId="77777777" w:rsidR="0013779C" w:rsidRPr="00777E05" w:rsidRDefault="0013779C" w:rsidP="0013779C">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117E1ED4" w14:textId="77777777" w:rsidR="005568E4" w:rsidRPr="005568E4" w:rsidRDefault="005568E4" w:rsidP="00B40E4E">
            <w:pPr>
              <w:pStyle w:val="ListParagraph"/>
              <w:numPr>
                <w:ilvl w:val="0"/>
                <w:numId w:val="39"/>
              </w:numPr>
              <w:spacing w:before="0" w:after="0"/>
              <w:ind w:left="320" w:hanging="320"/>
              <w:rPr>
                <w:rFonts w:ascii="Arial" w:eastAsia="Times New Roman" w:hAnsi="Arial" w:cs="Arial"/>
                <w:color w:val="auto"/>
              </w:rPr>
            </w:pPr>
            <w:r w:rsidRPr="005568E4">
              <w:rPr>
                <w:rFonts w:ascii="Arial" w:eastAsia="Times New Roman" w:hAnsi="Arial" w:cs="Arial"/>
                <w:color w:val="auto"/>
              </w:rPr>
              <w:t>Internal Audit</w:t>
            </w:r>
          </w:p>
          <w:p w14:paraId="2E71610A" w14:textId="1454B759" w:rsidR="005568E4" w:rsidRPr="005568E4" w:rsidRDefault="005568E4" w:rsidP="00B40E4E">
            <w:pPr>
              <w:pStyle w:val="ListParagraph"/>
              <w:numPr>
                <w:ilvl w:val="0"/>
                <w:numId w:val="39"/>
              </w:numPr>
              <w:spacing w:before="0" w:after="0"/>
              <w:ind w:left="320" w:hanging="320"/>
              <w:rPr>
                <w:rFonts w:ascii="Arial" w:eastAsia="Times New Roman" w:hAnsi="Arial" w:cs="Arial"/>
                <w:color w:val="auto"/>
              </w:rPr>
            </w:pPr>
            <w:r w:rsidRPr="005568E4">
              <w:rPr>
                <w:rFonts w:ascii="Arial" w:eastAsia="Times New Roman" w:hAnsi="Arial" w:cs="Arial"/>
                <w:color w:val="auto"/>
              </w:rPr>
              <w:t xml:space="preserve">Health and Safety </w:t>
            </w:r>
            <w:r w:rsidR="00491763">
              <w:rPr>
                <w:rFonts w:ascii="Arial" w:eastAsia="Times New Roman" w:hAnsi="Arial" w:cs="Arial"/>
                <w:color w:val="auto"/>
              </w:rPr>
              <w:t>Lead</w:t>
            </w:r>
          </w:p>
          <w:p w14:paraId="4EA4950C" w14:textId="77777777" w:rsidR="005568E4" w:rsidRPr="005568E4" w:rsidRDefault="005568E4" w:rsidP="00B40E4E">
            <w:pPr>
              <w:pStyle w:val="ListParagraph"/>
              <w:numPr>
                <w:ilvl w:val="0"/>
                <w:numId w:val="39"/>
              </w:numPr>
              <w:spacing w:before="0" w:after="0"/>
              <w:ind w:left="320" w:hanging="320"/>
              <w:rPr>
                <w:rFonts w:ascii="Arial" w:eastAsia="Times New Roman" w:hAnsi="Arial" w:cs="Arial"/>
                <w:color w:val="auto"/>
              </w:rPr>
            </w:pPr>
            <w:r w:rsidRPr="005568E4">
              <w:rPr>
                <w:rFonts w:ascii="Arial" w:eastAsia="Times New Roman" w:hAnsi="Arial" w:cs="Arial"/>
                <w:color w:val="auto"/>
              </w:rPr>
              <w:t>MSE ICB Governance Leads</w:t>
            </w:r>
          </w:p>
          <w:p w14:paraId="1AF6D417" w14:textId="38E77CD5" w:rsidR="005568E4" w:rsidRPr="005568E4" w:rsidRDefault="001D57D3" w:rsidP="00B40E4E">
            <w:pPr>
              <w:pStyle w:val="ListParagraph"/>
              <w:numPr>
                <w:ilvl w:val="0"/>
                <w:numId w:val="39"/>
              </w:numPr>
              <w:spacing w:before="0" w:after="0"/>
              <w:ind w:left="320" w:hanging="320"/>
              <w:rPr>
                <w:rFonts w:ascii="Arial" w:eastAsia="Times New Roman" w:hAnsi="Arial" w:cs="Arial"/>
                <w:color w:val="auto"/>
              </w:rPr>
            </w:pPr>
            <w:r>
              <w:rPr>
                <w:rFonts w:ascii="Arial" w:eastAsia="Times New Roman" w:hAnsi="Arial" w:cs="Arial"/>
                <w:color w:val="auto"/>
              </w:rPr>
              <w:t xml:space="preserve">Chief </w:t>
            </w:r>
            <w:r w:rsidR="005568E4" w:rsidRPr="005568E4">
              <w:rPr>
                <w:rFonts w:ascii="Arial" w:eastAsia="Times New Roman" w:hAnsi="Arial" w:cs="Arial"/>
                <w:color w:val="auto"/>
              </w:rPr>
              <w:t>Finance</w:t>
            </w:r>
            <w:r>
              <w:rPr>
                <w:rFonts w:ascii="Arial" w:eastAsia="Times New Roman" w:hAnsi="Arial" w:cs="Arial"/>
                <w:color w:val="auto"/>
              </w:rPr>
              <w:t xml:space="preserve"> Officer</w:t>
            </w:r>
          </w:p>
          <w:p w14:paraId="0A332AF5" w14:textId="77777777" w:rsidR="005568E4" w:rsidRPr="005568E4" w:rsidRDefault="005568E4" w:rsidP="00B40E4E">
            <w:pPr>
              <w:pStyle w:val="ListParagraph"/>
              <w:numPr>
                <w:ilvl w:val="0"/>
                <w:numId w:val="39"/>
              </w:numPr>
              <w:spacing w:before="0" w:after="0"/>
              <w:ind w:left="320" w:hanging="320"/>
              <w:rPr>
                <w:rFonts w:ascii="Arial" w:eastAsia="Times New Roman" w:hAnsi="Arial" w:cs="Arial"/>
                <w:color w:val="auto"/>
              </w:rPr>
            </w:pPr>
            <w:r w:rsidRPr="005568E4">
              <w:rPr>
                <w:rFonts w:ascii="Arial" w:eastAsia="Times New Roman" w:hAnsi="Arial" w:cs="Arial"/>
                <w:color w:val="auto"/>
              </w:rPr>
              <w:t>Human Resources</w:t>
            </w:r>
          </w:p>
          <w:p w14:paraId="6803C01C" w14:textId="77777777" w:rsidR="005568E4" w:rsidRPr="005568E4" w:rsidRDefault="005568E4" w:rsidP="00B40E4E">
            <w:pPr>
              <w:pStyle w:val="ListParagraph"/>
              <w:numPr>
                <w:ilvl w:val="0"/>
                <w:numId w:val="39"/>
              </w:numPr>
              <w:spacing w:before="0" w:after="0"/>
              <w:ind w:left="320" w:hanging="320"/>
              <w:rPr>
                <w:rFonts w:ascii="Arial" w:eastAsia="Times New Roman" w:hAnsi="Arial" w:cs="Arial"/>
                <w:color w:val="auto"/>
              </w:rPr>
            </w:pPr>
            <w:r w:rsidRPr="005568E4">
              <w:rPr>
                <w:rFonts w:ascii="Arial" w:eastAsia="Times New Roman" w:hAnsi="Arial" w:cs="Arial"/>
                <w:color w:val="auto"/>
              </w:rPr>
              <w:t>Director of Quality and Nursing</w:t>
            </w:r>
          </w:p>
          <w:p w14:paraId="534F7ABA" w14:textId="72EDDA78" w:rsidR="0013779C" w:rsidRPr="004A2F47" w:rsidRDefault="005568E4" w:rsidP="005568E4">
            <w:pPr>
              <w:pStyle w:val="ListParagraph"/>
              <w:numPr>
                <w:ilvl w:val="0"/>
                <w:numId w:val="13"/>
              </w:numPr>
              <w:spacing w:before="0" w:after="0"/>
              <w:ind w:left="320" w:hanging="284"/>
            </w:pPr>
            <w:r w:rsidRPr="005568E4">
              <w:rPr>
                <w:rFonts w:ascii="Arial" w:eastAsia="Times New Roman" w:hAnsi="Arial" w:cs="Arial"/>
                <w:color w:val="auto"/>
              </w:rPr>
              <w:t>CCG Audit Committees in Common</w:t>
            </w:r>
          </w:p>
        </w:tc>
      </w:tr>
      <w:tr w:rsidR="0013779C" w:rsidRPr="00777E05" w14:paraId="7CEC2541" w14:textId="77777777" w:rsidTr="00126ED8">
        <w:tc>
          <w:tcPr>
            <w:tcW w:w="4395" w:type="dxa"/>
            <w:shd w:val="clear" w:color="auto" w:fill="003087" w:themeFill="accent1"/>
          </w:tcPr>
          <w:p w14:paraId="02B6A0D5" w14:textId="5D01761A" w:rsidR="0013779C" w:rsidRPr="0013779C" w:rsidRDefault="0013779C" w:rsidP="0013779C">
            <w:pPr>
              <w:spacing w:before="0" w:after="0"/>
              <w:ind w:left="0"/>
              <w:rPr>
                <w:color w:val="FFFFFF" w:themeColor="background1"/>
              </w:rPr>
            </w:pPr>
            <w:r w:rsidRPr="00777E05">
              <w:rPr>
                <w:color w:val="FFFFFF" w:themeColor="background1"/>
              </w:rPr>
              <w:t xml:space="preserve">Impact Assessments Undertaken </w:t>
            </w:r>
          </w:p>
        </w:tc>
        <w:tc>
          <w:tcPr>
            <w:tcW w:w="4677" w:type="dxa"/>
          </w:tcPr>
          <w:p w14:paraId="0525243F" w14:textId="399E3C09" w:rsidR="0013779C" w:rsidRPr="00777E05" w:rsidRDefault="0013779C" w:rsidP="00FA1183">
            <w:pPr>
              <w:pStyle w:val="ListParagraph"/>
              <w:numPr>
                <w:ilvl w:val="0"/>
                <w:numId w:val="11"/>
              </w:numPr>
              <w:spacing w:before="0" w:after="0"/>
              <w:ind w:left="318" w:hanging="284"/>
            </w:pPr>
            <w:r>
              <w:t>Equality Impact Assessment</w:t>
            </w:r>
          </w:p>
        </w:tc>
      </w:tr>
    </w:tbl>
    <w:p w14:paraId="49F0AC0B" w14:textId="77777777" w:rsidR="00FD2B5D" w:rsidRPr="00DA22B6" w:rsidRDefault="00FD2B5D" w:rsidP="00FD2B5D">
      <w:pPr>
        <w:pStyle w:val="Heading1"/>
      </w:pPr>
      <w:bookmarkStart w:id="1" w:name="_Toc88478175"/>
      <w:r w:rsidRPr="00332F7C">
        <w:t>Version History</w:t>
      </w:r>
      <w:bookmarkEnd w:id="1"/>
    </w:p>
    <w:tbl>
      <w:tblPr>
        <w:tblStyle w:val="TableGrid"/>
        <w:tblW w:w="9720" w:type="dxa"/>
        <w:tblInd w:w="-275" w:type="dxa"/>
        <w:tblLook w:val="04A0" w:firstRow="1" w:lastRow="0" w:firstColumn="1" w:lastColumn="0" w:noHBand="0" w:noVBand="1"/>
      </w:tblPr>
      <w:tblGrid>
        <w:gridCol w:w="1080"/>
        <w:gridCol w:w="1318"/>
        <w:gridCol w:w="3029"/>
        <w:gridCol w:w="4293"/>
      </w:tblGrid>
      <w:tr w:rsidR="00FD2B5D" w14:paraId="4CEEE9FB" w14:textId="77777777" w:rsidTr="009A3207">
        <w:trPr>
          <w:trHeight w:val="489"/>
          <w:tblHeader/>
        </w:trPr>
        <w:tc>
          <w:tcPr>
            <w:tcW w:w="1080"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317"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4294"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13779C" w14:paraId="3D78C677" w14:textId="77777777" w:rsidTr="00B067B3">
        <w:trPr>
          <w:trHeight w:val="424"/>
        </w:trPr>
        <w:tc>
          <w:tcPr>
            <w:tcW w:w="1080" w:type="dxa"/>
          </w:tcPr>
          <w:p w14:paraId="04931F40" w14:textId="76C90FD0" w:rsidR="0013779C" w:rsidRDefault="0013779C" w:rsidP="0013779C">
            <w:pPr>
              <w:pStyle w:val="NoSpacing"/>
            </w:pPr>
            <w:r w:rsidRPr="00C11CDD">
              <w:rPr>
                <w:rFonts w:ascii="Arial" w:hAnsi="Arial" w:cs="Arial"/>
              </w:rPr>
              <w:t>0.1</w:t>
            </w:r>
          </w:p>
        </w:tc>
        <w:tc>
          <w:tcPr>
            <w:tcW w:w="1317" w:type="dxa"/>
          </w:tcPr>
          <w:p w14:paraId="1B227E4B" w14:textId="6EEEE6B5" w:rsidR="0013779C" w:rsidRDefault="0013779C" w:rsidP="0013779C">
            <w:pPr>
              <w:pStyle w:val="NoSpacing"/>
            </w:pPr>
            <w:r w:rsidRPr="00C11CDD">
              <w:rPr>
                <w:rFonts w:ascii="Arial" w:hAnsi="Arial" w:cs="Arial"/>
              </w:rPr>
              <w:t>Feb 2022</w:t>
            </w:r>
          </w:p>
        </w:tc>
        <w:tc>
          <w:tcPr>
            <w:tcW w:w="3029" w:type="dxa"/>
          </w:tcPr>
          <w:p w14:paraId="1553C4E3" w14:textId="7E389EEC" w:rsidR="0013779C" w:rsidRDefault="0013779C" w:rsidP="0013779C">
            <w:pPr>
              <w:pStyle w:val="NoSpacing"/>
            </w:pPr>
            <w:r w:rsidRPr="00C11CDD">
              <w:t>Julie Hill, Security Management Specialist</w:t>
            </w:r>
          </w:p>
        </w:tc>
        <w:tc>
          <w:tcPr>
            <w:tcW w:w="4294" w:type="dxa"/>
          </w:tcPr>
          <w:p w14:paraId="49B4F070" w14:textId="6FEA5FB1" w:rsidR="0013779C" w:rsidRDefault="0013779C" w:rsidP="0013779C">
            <w:pPr>
              <w:pStyle w:val="NoSpacing"/>
            </w:pPr>
            <w:r w:rsidRPr="00C11CDD">
              <w:rPr>
                <w:rFonts w:ascii="Arial" w:hAnsi="Arial" w:cs="Arial"/>
              </w:rPr>
              <w:t>New Policy</w:t>
            </w:r>
          </w:p>
        </w:tc>
      </w:tr>
      <w:tr w:rsidR="0013779C" w14:paraId="5743EC0C" w14:textId="77777777" w:rsidTr="00B067B3">
        <w:trPr>
          <w:trHeight w:val="402"/>
        </w:trPr>
        <w:tc>
          <w:tcPr>
            <w:tcW w:w="1080" w:type="dxa"/>
          </w:tcPr>
          <w:p w14:paraId="5D628B89" w14:textId="1CA1A18B" w:rsidR="0013779C" w:rsidRDefault="0013779C" w:rsidP="0013779C">
            <w:pPr>
              <w:pStyle w:val="NoSpacing"/>
            </w:pPr>
            <w:r w:rsidRPr="00C11CDD">
              <w:rPr>
                <w:rFonts w:ascii="Arial" w:hAnsi="Arial" w:cs="Arial"/>
              </w:rPr>
              <w:t>0.2</w:t>
            </w:r>
          </w:p>
        </w:tc>
        <w:tc>
          <w:tcPr>
            <w:tcW w:w="1317" w:type="dxa"/>
          </w:tcPr>
          <w:p w14:paraId="288FEB7A" w14:textId="611714A2" w:rsidR="0013779C" w:rsidRDefault="0013779C" w:rsidP="0013779C">
            <w:pPr>
              <w:pStyle w:val="NoSpacing"/>
            </w:pPr>
            <w:r w:rsidRPr="00C11CDD">
              <w:rPr>
                <w:rFonts w:ascii="Arial" w:hAnsi="Arial" w:cs="Arial"/>
              </w:rPr>
              <w:t>March 2022</w:t>
            </w:r>
          </w:p>
        </w:tc>
        <w:tc>
          <w:tcPr>
            <w:tcW w:w="3029" w:type="dxa"/>
          </w:tcPr>
          <w:p w14:paraId="34495F98" w14:textId="69C70D29" w:rsidR="0013779C" w:rsidRDefault="0013779C" w:rsidP="0013779C">
            <w:pPr>
              <w:pStyle w:val="NoSpacing"/>
            </w:pPr>
            <w:r w:rsidRPr="00C11CDD">
              <w:rPr>
                <w:rFonts w:ascii="Arial" w:hAnsi="Arial" w:cs="Arial"/>
              </w:rPr>
              <w:t xml:space="preserve">David Triggs, MSE </w:t>
            </w:r>
            <w:r w:rsidR="006631EF">
              <w:rPr>
                <w:rFonts w:ascii="Arial" w:hAnsi="Arial" w:cs="Arial"/>
              </w:rPr>
              <w:t>ICB</w:t>
            </w:r>
            <w:r w:rsidRPr="00C11CDD">
              <w:rPr>
                <w:rFonts w:ascii="Arial" w:hAnsi="Arial" w:cs="Arial"/>
              </w:rPr>
              <w:t xml:space="preserve"> Governance</w:t>
            </w:r>
          </w:p>
        </w:tc>
        <w:tc>
          <w:tcPr>
            <w:tcW w:w="4294" w:type="dxa"/>
          </w:tcPr>
          <w:p w14:paraId="7DE50D80" w14:textId="45DA6C7F" w:rsidR="0013779C" w:rsidRDefault="0013779C" w:rsidP="0013779C">
            <w:pPr>
              <w:pStyle w:val="NoSpacing"/>
            </w:pPr>
            <w:r w:rsidRPr="00C11CDD">
              <w:rPr>
                <w:rFonts w:ascii="Arial" w:hAnsi="Arial" w:cs="Arial"/>
              </w:rPr>
              <w:t>First Review</w:t>
            </w:r>
          </w:p>
        </w:tc>
      </w:tr>
      <w:tr w:rsidR="0013779C" w14:paraId="2385A697" w14:textId="77777777" w:rsidTr="00B067B3">
        <w:trPr>
          <w:trHeight w:val="423"/>
        </w:trPr>
        <w:tc>
          <w:tcPr>
            <w:tcW w:w="1080" w:type="dxa"/>
            <w:vAlign w:val="center"/>
          </w:tcPr>
          <w:p w14:paraId="63C36EA2" w14:textId="678113EF" w:rsidR="0013779C" w:rsidRDefault="0013779C" w:rsidP="0013779C">
            <w:pPr>
              <w:pStyle w:val="NoSpacing"/>
            </w:pPr>
            <w:r w:rsidRPr="00C11CDD">
              <w:rPr>
                <w:rFonts w:ascii="Arial" w:hAnsi="Arial" w:cs="Arial"/>
              </w:rPr>
              <w:t>0.3</w:t>
            </w:r>
          </w:p>
        </w:tc>
        <w:tc>
          <w:tcPr>
            <w:tcW w:w="1317" w:type="dxa"/>
            <w:vAlign w:val="center"/>
          </w:tcPr>
          <w:p w14:paraId="5B783ABB" w14:textId="1B8E94B0" w:rsidR="0013779C" w:rsidRDefault="000B725B" w:rsidP="0013779C">
            <w:pPr>
              <w:pStyle w:val="NoSpacing"/>
            </w:pPr>
            <w:r>
              <w:rPr>
                <w:rFonts w:ascii="Arial" w:hAnsi="Arial" w:cs="Arial"/>
              </w:rPr>
              <w:t>May</w:t>
            </w:r>
            <w:r w:rsidR="0013779C" w:rsidRPr="00C11CDD">
              <w:rPr>
                <w:rFonts w:ascii="Arial" w:hAnsi="Arial" w:cs="Arial"/>
              </w:rPr>
              <w:t xml:space="preserve"> 2022</w:t>
            </w:r>
          </w:p>
        </w:tc>
        <w:tc>
          <w:tcPr>
            <w:tcW w:w="3029" w:type="dxa"/>
            <w:vAlign w:val="center"/>
          </w:tcPr>
          <w:p w14:paraId="2E71F7C5" w14:textId="4CC6FE09" w:rsidR="0013779C" w:rsidRDefault="000B725B" w:rsidP="0013779C">
            <w:pPr>
              <w:pStyle w:val="NoSpacing"/>
            </w:pPr>
            <w:r>
              <w:rPr>
                <w:rFonts w:ascii="Arial" w:hAnsi="Arial" w:cs="Arial"/>
              </w:rPr>
              <w:t xml:space="preserve">Viv Barnes, </w:t>
            </w:r>
            <w:r w:rsidR="0013779C" w:rsidRPr="00C11CDD">
              <w:rPr>
                <w:rFonts w:ascii="Arial" w:hAnsi="Arial" w:cs="Arial"/>
              </w:rPr>
              <w:t>Governance Lead</w:t>
            </w:r>
          </w:p>
        </w:tc>
        <w:tc>
          <w:tcPr>
            <w:tcW w:w="4294" w:type="dxa"/>
            <w:vAlign w:val="center"/>
          </w:tcPr>
          <w:p w14:paraId="653B0041" w14:textId="3A317096" w:rsidR="0013779C" w:rsidRDefault="00B967E2" w:rsidP="0013779C">
            <w:pPr>
              <w:pStyle w:val="NoSpacing"/>
            </w:pPr>
            <w:r>
              <w:rPr>
                <w:rFonts w:ascii="Arial" w:hAnsi="Arial" w:cs="Arial"/>
              </w:rPr>
              <w:t>Amended to reflect content of similar policies for NHS organisations that do not predominantly provide direct patient care</w:t>
            </w:r>
          </w:p>
        </w:tc>
      </w:tr>
      <w:tr w:rsidR="0013779C" w14:paraId="60CB267F" w14:textId="77777777" w:rsidTr="00B067B3">
        <w:trPr>
          <w:trHeight w:val="423"/>
        </w:trPr>
        <w:tc>
          <w:tcPr>
            <w:tcW w:w="1080" w:type="dxa"/>
            <w:vAlign w:val="center"/>
          </w:tcPr>
          <w:p w14:paraId="5954B4B0" w14:textId="015BC22E" w:rsidR="0013779C" w:rsidRDefault="005C7CF2" w:rsidP="0013779C">
            <w:pPr>
              <w:pStyle w:val="NoSpacing"/>
            </w:pPr>
            <w:r>
              <w:t>0.4</w:t>
            </w:r>
          </w:p>
        </w:tc>
        <w:tc>
          <w:tcPr>
            <w:tcW w:w="1317" w:type="dxa"/>
            <w:vAlign w:val="center"/>
          </w:tcPr>
          <w:p w14:paraId="21A4A8DE" w14:textId="39688456" w:rsidR="0013779C" w:rsidRDefault="005C7CF2" w:rsidP="0013779C">
            <w:pPr>
              <w:pStyle w:val="NoSpacing"/>
            </w:pPr>
            <w:r>
              <w:t>May 2022</w:t>
            </w:r>
          </w:p>
        </w:tc>
        <w:tc>
          <w:tcPr>
            <w:tcW w:w="3029" w:type="dxa"/>
            <w:vAlign w:val="center"/>
          </w:tcPr>
          <w:p w14:paraId="44EF19D3" w14:textId="60E4C818" w:rsidR="0013779C" w:rsidRDefault="005C7CF2" w:rsidP="0013779C">
            <w:pPr>
              <w:pStyle w:val="NoSpacing"/>
            </w:pPr>
            <w:r>
              <w:t>Quality, Human Resources Teams</w:t>
            </w:r>
            <w:r w:rsidR="001F73D6">
              <w:t xml:space="preserve"> &amp; CFO</w:t>
            </w:r>
          </w:p>
        </w:tc>
        <w:tc>
          <w:tcPr>
            <w:tcW w:w="4294" w:type="dxa"/>
            <w:vAlign w:val="center"/>
          </w:tcPr>
          <w:p w14:paraId="23BE90F1" w14:textId="731C0EAD" w:rsidR="0013779C" w:rsidRDefault="005C7CF2" w:rsidP="0013779C">
            <w:pPr>
              <w:pStyle w:val="NoSpacing"/>
            </w:pPr>
            <w:r>
              <w:t>No changes</w:t>
            </w:r>
          </w:p>
        </w:tc>
      </w:tr>
      <w:tr w:rsidR="0013779C" w14:paraId="52A28005" w14:textId="77777777" w:rsidTr="00B067B3">
        <w:trPr>
          <w:trHeight w:val="423"/>
        </w:trPr>
        <w:tc>
          <w:tcPr>
            <w:tcW w:w="1080" w:type="dxa"/>
            <w:vAlign w:val="center"/>
          </w:tcPr>
          <w:p w14:paraId="4AFFEA1E" w14:textId="7CADFE9A" w:rsidR="0013779C" w:rsidRDefault="00514738" w:rsidP="0013779C">
            <w:pPr>
              <w:pStyle w:val="NoSpacing"/>
            </w:pPr>
            <w:bookmarkStart w:id="2" w:name="_Hlk106957242"/>
            <w:r>
              <w:t>0.5</w:t>
            </w:r>
          </w:p>
        </w:tc>
        <w:tc>
          <w:tcPr>
            <w:tcW w:w="1317" w:type="dxa"/>
            <w:vAlign w:val="center"/>
          </w:tcPr>
          <w:p w14:paraId="56C5690C" w14:textId="780F4636" w:rsidR="0013779C" w:rsidRDefault="00514738" w:rsidP="0013779C">
            <w:pPr>
              <w:pStyle w:val="NoSpacing"/>
            </w:pPr>
            <w:r>
              <w:t>June 2022</w:t>
            </w:r>
          </w:p>
        </w:tc>
        <w:tc>
          <w:tcPr>
            <w:tcW w:w="3029" w:type="dxa"/>
            <w:vAlign w:val="center"/>
          </w:tcPr>
          <w:p w14:paraId="6E5BDDA1" w14:textId="21E7D8FF" w:rsidR="0013779C" w:rsidRDefault="00514738" w:rsidP="0013779C">
            <w:pPr>
              <w:pStyle w:val="NoSpacing"/>
            </w:pPr>
            <w:r>
              <w:t>Sara O’Connor</w:t>
            </w:r>
            <w:r w:rsidR="00F12516">
              <w:t>, Head of Corporate Governance</w:t>
            </w:r>
          </w:p>
        </w:tc>
        <w:tc>
          <w:tcPr>
            <w:tcW w:w="4294" w:type="dxa"/>
            <w:vAlign w:val="center"/>
          </w:tcPr>
          <w:p w14:paraId="55525562" w14:textId="67CF9BEC" w:rsidR="0013779C" w:rsidRDefault="00F12516" w:rsidP="0013779C">
            <w:pPr>
              <w:pStyle w:val="NoSpacing"/>
            </w:pPr>
            <w:r>
              <w:t xml:space="preserve">Suggested amendments throughout policy. </w:t>
            </w:r>
          </w:p>
        </w:tc>
      </w:tr>
      <w:bookmarkEnd w:id="2"/>
      <w:tr w:rsidR="00B067B3" w14:paraId="79EE53AB" w14:textId="77777777" w:rsidTr="00B067B3">
        <w:trPr>
          <w:trHeight w:val="423"/>
        </w:trPr>
        <w:tc>
          <w:tcPr>
            <w:tcW w:w="1080" w:type="dxa"/>
            <w:vAlign w:val="center"/>
          </w:tcPr>
          <w:p w14:paraId="3B65FF4B" w14:textId="5C253DC5" w:rsidR="00B067B3" w:rsidRDefault="00B067B3" w:rsidP="00B067B3">
            <w:pPr>
              <w:pStyle w:val="NoSpacing"/>
            </w:pPr>
            <w:r>
              <w:t>0.6</w:t>
            </w:r>
          </w:p>
        </w:tc>
        <w:tc>
          <w:tcPr>
            <w:tcW w:w="1317" w:type="dxa"/>
            <w:vAlign w:val="center"/>
          </w:tcPr>
          <w:p w14:paraId="52FFB058" w14:textId="4C9E712B" w:rsidR="00B067B3" w:rsidRDefault="00B067B3" w:rsidP="00B067B3">
            <w:pPr>
              <w:pStyle w:val="NoSpacing"/>
            </w:pPr>
            <w:r>
              <w:t>June 2022</w:t>
            </w:r>
          </w:p>
        </w:tc>
        <w:tc>
          <w:tcPr>
            <w:tcW w:w="3029" w:type="dxa"/>
            <w:vAlign w:val="center"/>
          </w:tcPr>
          <w:p w14:paraId="361D007A" w14:textId="41C93883" w:rsidR="00B067B3" w:rsidRDefault="00B067B3" w:rsidP="00B067B3">
            <w:pPr>
              <w:pStyle w:val="NoSpacing"/>
            </w:pPr>
            <w:r w:rsidRPr="00C11CDD">
              <w:t>Julie Hill, Security Management Specialist</w:t>
            </w:r>
          </w:p>
        </w:tc>
        <w:tc>
          <w:tcPr>
            <w:tcW w:w="4294" w:type="dxa"/>
            <w:vAlign w:val="center"/>
          </w:tcPr>
          <w:p w14:paraId="11A8205D" w14:textId="7AC4615E" w:rsidR="00B067B3" w:rsidRDefault="00B067B3" w:rsidP="00B067B3">
            <w:pPr>
              <w:pStyle w:val="NoSpacing"/>
            </w:pPr>
            <w:r>
              <w:t xml:space="preserve">Review and comments - Amendments reviewed &amp; final adjustments. </w:t>
            </w:r>
          </w:p>
        </w:tc>
      </w:tr>
      <w:tr w:rsidR="009047A7" w14:paraId="73B8EDE8" w14:textId="77777777" w:rsidTr="00B067B3">
        <w:trPr>
          <w:trHeight w:val="423"/>
        </w:trPr>
        <w:tc>
          <w:tcPr>
            <w:tcW w:w="1080" w:type="dxa"/>
            <w:vAlign w:val="center"/>
          </w:tcPr>
          <w:p w14:paraId="21A19CE5" w14:textId="7C60A2A7" w:rsidR="009047A7" w:rsidRDefault="009047A7" w:rsidP="00B067B3">
            <w:pPr>
              <w:pStyle w:val="NoSpacing"/>
            </w:pPr>
            <w:r>
              <w:t>1.0</w:t>
            </w:r>
          </w:p>
        </w:tc>
        <w:tc>
          <w:tcPr>
            <w:tcW w:w="1317" w:type="dxa"/>
            <w:vAlign w:val="center"/>
          </w:tcPr>
          <w:p w14:paraId="500CCAE4" w14:textId="620926BC" w:rsidR="009047A7" w:rsidRDefault="009047A7" w:rsidP="00B067B3">
            <w:pPr>
              <w:pStyle w:val="NoSpacing"/>
            </w:pPr>
            <w:r>
              <w:t>12/08/2022</w:t>
            </w:r>
          </w:p>
        </w:tc>
        <w:tc>
          <w:tcPr>
            <w:tcW w:w="3029" w:type="dxa"/>
            <w:vAlign w:val="center"/>
          </w:tcPr>
          <w:p w14:paraId="35BEC84F" w14:textId="77777777" w:rsidR="009047A7" w:rsidRDefault="009047A7" w:rsidP="00B067B3">
            <w:pPr>
              <w:pStyle w:val="NoSpacing"/>
            </w:pPr>
            <w:r>
              <w:t xml:space="preserve">Marion </w:t>
            </w:r>
            <w:proofErr w:type="spellStart"/>
            <w:r>
              <w:t>Barritt</w:t>
            </w:r>
            <w:proofErr w:type="spellEnd"/>
            <w:r>
              <w:t xml:space="preserve"> / </w:t>
            </w:r>
          </w:p>
          <w:p w14:paraId="15D07488" w14:textId="6C3DAC2E" w:rsidR="009047A7" w:rsidRPr="00C11CDD" w:rsidRDefault="009047A7" w:rsidP="00B067B3">
            <w:pPr>
              <w:pStyle w:val="NoSpacing"/>
            </w:pPr>
            <w:r>
              <w:t>Sara O’Connor</w:t>
            </w:r>
          </w:p>
        </w:tc>
        <w:tc>
          <w:tcPr>
            <w:tcW w:w="4294" w:type="dxa"/>
            <w:vAlign w:val="center"/>
          </w:tcPr>
          <w:p w14:paraId="791347DD" w14:textId="5667DF33" w:rsidR="009047A7" w:rsidRDefault="009047A7" w:rsidP="00B067B3">
            <w:pPr>
              <w:pStyle w:val="NoSpacing"/>
            </w:pPr>
            <w:r>
              <w:t xml:space="preserve">Final review against Policy checklist. </w:t>
            </w:r>
          </w:p>
        </w:tc>
      </w:tr>
    </w:tbl>
    <w:p w14:paraId="7BE3963D" w14:textId="77777777" w:rsidR="009A3207" w:rsidRDefault="009A3207" w:rsidP="0013779C">
      <w:pPr>
        <w:ind w:left="0"/>
        <w:rPr>
          <w:b/>
          <w:bCs/>
          <w:sz w:val="28"/>
          <w:szCs w:val="28"/>
        </w:rPr>
      </w:pPr>
    </w:p>
    <w:p w14:paraId="727389F1" w14:textId="77777777" w:rsidR="009A3207" w:rsidRDefault="009A3207">
      <w:pPr>
        <w:spacing w:before="0" w:after="0"/>
        <w:ind w:left="0"/>
        <w:rPr>
          <w:b/>
          <w:bCs/>
          <w:sz w:val="28"/>
          <w:szCs w:val="28"/>
        </w:rPr>
      </w:pPr>
      <w:r>
        <w:rPr>
          <w:b/>
          <w:bCs/>
          <w:sz w:val="28"/>
          <w:szCs w:val="28"/>
        </w:rPr>
        <w:br w:type="page"/>
      </w:r>
    </w:p>
    <w:p w14:paraId="4E75AD1B" w14:textId="6507AC8D" w:rsidR="00FD2B5D" w:rsidRPr="0013779C" w:rsidRDefault="000F560D" w:rsidP="0013779C">
      <w:pPr>
        <w:ind w:left="0"/>
        <w:rPr>
          <w:b/>
          <w:bCs/>
          <w:sz w:val="28"/>
          <w:szCs w:val="28"/>
        </w:rPr>
      </w:pPr>
      <w:r w:rsidRPr="0013779C">
        <w:rPr>
          <w:b/>
          <w:bCs/>
          <w:sz w:val="28"/>
          <w:szCs w:val="28"/>
        </w:rPr>
        <w:t>Contents</w:t>
      </w:r>
    </w:p>
    <w:p w14:paraId="2C549060" w14:textId="51791A24" w:rsidR="009047A7" w:rsidRDefault="000665B0">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11190855" w:history="1">
        <w:r w:rsidR="009047A7" w:rsidRPr="007D1B31">
          <w:rPr>
            <w:rStyle w:val="Hyperlink"/>
            <w:noProof/>
          </w:rPr>
          <w:t>1.</w:t>
        </w:r>
        <w:r w:rsidR="009047A7">
          <w:rPr>
            <w:rFonts w:eastAsiaTheme="minorEastAsia"/>
            <w:b w:val="0"/>
            <w:noProof/>
            <w:color w:val="auto"/>
            <w:sz w:val="22"/>
            <w:szCs w:val="22"/>
            <w:lang w:eastAsia="en-GB"/>
          </w:rPr>
          <w:tab/>
        </w:r>
        <w:r w:rsidR="009047A7" w:rsidRPr="007D1B31">
          <w:rPr>
            <w:rStyle w:val="Hyperlink"/>
            <w:noProof/>
          </w:rPr>
          <w:t>Introduction</w:t>
        </w:r>
        <w:r w:rsidR="009047A7">
          <w:rPr>
            <w:noProof/>
            <w:webHidden/>
          </w:rPr>
          <w:tab/>
        </w:r>
        <w:r w:rsidR="009047A7">
          <w:rPr>
            <w:noProof/>
            <w:webHidden/>
          </w:rPr>
          <w:fldChar w:fldCharType="begin"/>
        </w:r>
        <w:r w:rsidR="009047A7">
          <w:rPr>
            <w:noProof/>
            <w:webHidden/>
          </w:rPr>
          <w:instrText xml:space="preserve"> PAGEREF _Toc111190855 \h </w:instrText>
        </w:r>
        <w:r w:rsidR="009047A7">
          <w:rPr>
            <w:noProof/>
            <w:webHidden/>
          </w:rPr>
        </w:r>
        <w:r w:rsidR="009047A7">
          <w:rPr>
            <w:noProof/>
            <w:webHidden/>
          </w:rPr>
          <w:fldChar w:fldCharType="separate"/>
        </w:r>
        <w:r w:rsidR="009047A7">
          <w:rPr>
            <w:noProof/>
            <w:webHidden/>
          </w:rPr>
          <w:t>1</w:t>
        </w:r>
        <w:r w:rsidR="009047A7">
          <w:rPr>
            <w:noProof/>
            <w:webHidden/>
          </w:rPr>
          <w:fldChar w:fldCharType="end"/>
        </w:r>
      </w:hyperlink>
    </w:p>
    <w:p w14:paraId="43336EF8" w14:textId="65BE643A" w:rsidR="009047A7" w:rsidRDefault="009047A7">
      <w:pPr>
        <w:pStyle w:val="TOC1"/>
        <w:rPr>
          <w:rFonts w:eastAsiaTheme="minorEastAsia"/>
          <w:b w:val="0"/>
          <w:noProof/>
          <w:color w:val="auto"/>
          <w:sz w:val="22"/>
          <w:szCs w:val="22"/>
          <w:lang w:eastAsia="en-GB"/>
        </w:rPr>
      </w:pPr>
      <w:hyperlink w:anchor="_Toc111190856" w:history="1">
        <w:r w:rsidRPr="007D1B31">
          <w:rPr>
            <w:rStyle w:val="Hyperlink"/>
            <w:noProof/>
          </w:rPr>
          <w:t>2.</w:t>
        </w:r>
        <w:r>
          <w:rPr>
            <w:rFonts w:eastAsiaTheme="minorEastAsia"/>
            <w:b w:val="0"/>
            <w:noProof/>
            <w:color w:val="auto"/>
            <w:sz w:val="22"/>
            <w:szCs w:val="22"/>
            <w:lang w:eastAsia="en-GB"/>
          </w:rPr>
          <w:tab/>
        </w:r>
        <w:r w:rsidRPr="007D1B31">
          <w:rPr>
            <w:rStyle w:val="Hyperlink"/>
            <w:noProof/>
          </w:rPr>
          <w:t>Purpose</w:t>
        </w:r>
        <w:r>
          <w:rPr>
            <w:noProof/>
            <w:webHidden/>
          </w:rPr>
          <w:tab/>
        </w:r>
        <w:r>
          <w:rPr>
            <w:noProof/>
            <w:webHidden/>
          </w:rPr>
          <w:fldChar w:fldCharType="begin"/>
        </w:r>
        <w:r>
          <w:rPr>
            <w:noProof/>
            <w:webHidden/>
          </w:rPr>
          <w:instrText xml:space="preserve"> PAGEREF _Toc111190856 \h </w:instrText>
        </w:r>
        <w:r>
          <w:rPr>
            <w:noProof/>
            <w:webHidden/>
          </w:rPr>
        </w:r>
        <w:r>
          <w:rPr>
            <w:noProof/>
            <w:webHidden/>
          </w:rPr>
          <w:fldChar w:fldCharType="separate"/>
        </w:r>
        <w:r>
          <w:rPr>
            <w:noProof/>
            <w:webHidden/>
          </w:rPr>
          <w:t>1</w:t>
        </w:r>
        <w:r>
          <w:rPr>
            <w:noProof/>
            <w:webHidden/>
          </w:rPr>
          <w:fldChar w:fldCharType="end"/>
        </w:r>
      </w:hyperlink>
    </w:p>
    <w:p w14:paraId="2734ED7F" w14:textId="4FBBD5D1" w:rsidR="009047A7" w:rsidRDefault="009047A7">
      <w:pPr>
        <w:pStyle w:val="TOC1"/>
        <w:rPr>
          <w:rFonts w:eastAsiaTheme="minorEastAsia"/>
          <w:b w:val="0"/>
          <w:noProof/>
          <w:color w:val="auto"/>
          <w:sz w:val="22"/>
          <w:szCs w:val="22"/>
          <w:lang w:eastAsia="en-GB"/>
        </w:rPr>
      </w:pPr>
      <w:hyperlink w:anchor="_Toc111190857" w:history="1">
        <w:r w:rsidRPr="007D1B31">
          <w:rPr>
            <w:rStyle w:val="Hyperlink"/>
            <w:noProof/>
          </w:rPr>
          <w:t>3.</w:t>
        </w:r>
        <w:r>
          <w:rPr>
            <w:rFonts w:eastAsiaTheme="minorEastAsia"/>
            <w:b w:val="0"/>
            <w:noProof/>
            <w:color w:val="auto"/>
            <w:sz w:val="22"/>
            <w:szCs w:val="22"/>
            <w:lang w:eastAsia="en-GB"/>
          </w:rPr>
          <w:tab/>
        </w:r>
        <w:r w:rsidRPr="007D1B31">
          <w:rPr>
            <w:rStyle w:val="Hyperlink"/>
            <w:noProof/>
          </w:rPr>
          <w:t>Scope</w:t>
        </w:r>
        <w:r>
          <w:rPr>
            <w:noProof/>
            <w:webHidden/>
          </w:rPr>
          <w:tab/>
        </w:r>
        <w:r>
          <w:rPr>
            <w:noProof/>
            <w:webHidden/>
          </w:rPr>
          <w:fldChar w:fldCharType="begin"/>
        </w:r>
        <w:r>
          <w:rPr>
            <w:noProof/>
            <w:webHidden/>
          </w:rPr>
          <w:instrText xml:space="preserve"> PAGEREF _Toc111190857 \h </w:instrText>
        </w:r>
        <w:r>
          <w:rPr>
            <w:noProof/>
            <w:webHidden/>
          </w:rPr>
        </w:r>
        <w:r>
          <w:rPr>
            <w:noProof/>
            <w:webHidden/>
          </w:rPr>
          <w:fldChar w:fldCharType="separate"/>
        </w:r>
        <w:r>
          <w:rPr>
            <w:noProof/>
            <w:webHidden/>
          </w:rPr>
          <w:t>2</w:t>
        </w:r>
        <w:r>
          <w:rPr>
            <w:noProof/>
            <w:webHidden/>
          </w:rPr>
          <w:fldChar w:fldCharType="end"/>
        </w:r>
      </w:hyperlink>
    </w:p>
    <w:p w14:paraId="3487ECF7" w14:textId="4224E5D0" w:rsidR="009047A7" w:rsidRDefault="009047A7">
      <w:pPr>
        <w:pStyle w:val="TOC1"/>
        <w:rPr>
          <w:rFonts w:eastAsiaTheme="minorEastAsia"/>
          <w:b w:val="0"/>
          <w:noProof/>
          <w:color w:val="auto"/>
          <w:sz w:val="22"/>
          <w:szCs w:val="22"/>
          <w:lang w:eastAsia="en-GB"/>
        </w:rPr>
      </w:pPr>
      <w:hyperlink w:anchor="_Toc111190858" w:history="1">
        <w:r w:rsidRPr="007D1B31">
          <w:rPr>
            <w:rStyle w:val="Hyperlink"/>
            <w:noProof/>
          </w:rPr>
          <w:t>4.</w:t>
        </w:r>
        <w:r>
          <w:rPr>
            <w:rFonts w:eastAsiaTheme="minorEastAsia"/>
            <w:b w:val="0"/>
            <w:noProof/>
            <w:color w:val="auto"/>
            <w:sz w:val="22"/>
            <w:szCs w:val="22"/>
            <w:lang w:eastAsia="en-GB"/>
          </w:rPr>
          <w:tab/>
        </w:r>
        <w:r w:rsidRPr="007D1B31">
          <w:rPr>
            <w:rStyle w:val="Hyperlink"/>
            <w:noProof/>
          </w:rPr>
          <w:t>Definitions</w:t>
        </w:r>
        <w:r>
          <w:rPr>
            <w:noProof/>
            <w:webHidden/>
          </w:rPr>
          <w:tab/>
        </w:r>
        <w:r>
          <w:rPr>
            <w:noProof/>
            <w:webHidden/>
          </w:rPr>
          <w:fldChar w:fldCharType="begin"/>
        </w:r>
        <w:r>
          <w:rPr>
            <w:noProof/>
            <w:webHidden/>
          </w:rPr>
          <w:instrText xml:space="preserve"> PAGEREF _Toc111190858 \h </w:instrText>
        </w:r>
        <w:r>
          <w:rPr>
            <w:noProof/>
            <w:webHidden/>
          </w:rPr>
        </w:r>
        <w:r>
          <w:rPr>
            <w:noProof/>
            <w:webHidden/>
          </w:rPr>
          <w:fldChar w:fldCharType="separate"/>
        </w:r>
        <w:r>
          <w:rPr>
            <w:noProof/>
            <w:webHidden/>
          </w:rPr>
          <w:t>2</w:t>
        </w:r>
        <w:r>
          <w:rPr>
            <w:noProof/>
            <w:webHidden/>
          </w:rPr>
          <w:fldChar w:fldCharType="end"/>
        </w:r>
      </w:hyperlink>
    </w:p>
    <w:p w14:paraId="5D9A92AD" w14:textId="3118A331" w:rsidR="009047A7" w:rsidRDefault="009047A7">
      <w:pPr>
        <w:pStyle w:val="TOC1"/>
        <w:rPr>
          <w:rFonts w:eastAsiaTheme="minorEastAsia"/>
          <w:b w:val="0"/>
          <w:noProof/>
          <w:color w:val="auto"/>
          <w:sz w:val="22"/>
          <w:szCs w:val="22"/>
          <w:lang w:eastAsia="en-GB"/>
        </w:rPr>
      </w:pPr>
      <w:hyperlink w:anchor="_Toc111190859" w:history="1">
        <w:r w:rsidRPr="007D1B31">
          <w:rPr>
            <w:rStyle w:val="Hyperlink"/>
            <w:noProof/>
          </w:rPr>
          <w:t>5.</w:t>
        </w:r>
        <w:r>
          <w:rPr>
            <w:rFonts w:eastAsiaTheme="minorEastAsia"/>
            <w:b w:val="0"/>
            <w:noProof/>
            <w:color w:val="auto"/>
            <w:sz w:val="22"/>
            <w:szCs w:val="22"/>
            <w:lang w:eastAsia="en-GB"/>
          </w:rPr>
          <w:tab/>
        </w:r>
        <w:r w:rsidRPr="007D1B31">
          <w:rPr>
            <w:rStyle w:val="Hyperlink"/>
            <w:noProof/>
          </w:rPr>
          <w:t>Roles and Responsibilities</w:t>
        </w:r>
        <w:r>
          <w:rPr>
            <w:noProof/>
            <w:webHidden/>
          </w:rPr>
          <w:tab/>
        </w:r>
        <w:r>
          <w:rPr>
            <w:noProof/>
            <w:webHidden/>
          </w:rPr>
          <w:fldChar w:fldCharType="begin"/>
        </w:r>
        <w:r>
          <w:rPr>
            <w:noProof/>
            <w:webHidden/>
          </w:rPr>
          <w:instrText xml:space="preserve"> PAGEREF _Toc111190859 \h </w:instrText>
        </w:r>
        <w:r>
          <w:rPr>
            <w:noProof/>
            <w:webHidden/>
          </w:rPr>
        </w:r>
        <w:r>
          <w:rPr>
            <w:noProof/>
            <w:webHidden/>
          </w:rPr>
          <w:fldChar w:fldCharType="separate"/>
        </w:r>
        <w:r>
          <w:rPr>
            <w:noProof/>
            <w:webHidden/>
          </w:rPr>
          <w:t>2</w:t>
        </w:r>
        <w:r>
          <w:rPr>
            <w:noProof/>
            <w:webHidden/>
          </w:rPr>
          <w:fldChar w:fldCharType="end"/>
        </w:r>
      </w:hyperlink>
    </w:p>
    <w:p w14:paraId="0DF9D39D" w14:textId="505EBB19" w:rsidR="009047A7" w:rsidRDefault="009047A7">
      <w:pPr>
        <w:pStyle w:val="TOC2"/>
        <w:tabs>
          <w:tab w:val="right" w:leader="underscore" w:pos="9016"/>
        </w:tabs>
        <w:rPr>
          <w:rFonts w:eastAsiaTheme="minorEastAsia"/>
          <w:noProof/>
          <w:color w:val="auto"/>
          <w:sz w:val="22"/>
          <w:szCs w:val="22"/>
          <w:lang w:eastAsia="en-GB"/>
        </w:rPr>
      </w:pPr>
      <w:hyperlink w:anchor="_Toc111190860" w:history="1">
        <w:r w:rsidRPr="007D1B31">
          <w:rPr>
            <w:rStyle w:val="Hyperlink"/>
            <w:noProof/>
          </w:rPr>
          <w:t>5.1.</w:t>
        </w:r>
        <w:r>
          <w:rPr>
            <w:rFonts w:eastAsiaTheme="minorEastAsia"/>
            <w:noProof/>
            <w:color w:val="auto"/>
            <w:sz w:val="22"/>
            <w:szCs w:val="22"/>
            <w:lang w:eastAsia="en-GB"/>
          </w:rPr>
          <w:tab/>
        </w:r>
        <w:r w:rsidRPr="007D1B31">
          <w:rPr>
            <w:rStyle w:val="Hyperlink"/>
            <w:noProof/>
          </w:rPr>
          <w:t>ICB Board</w:t>
        </w:r>
        <w:r>
          <w:rPr>
            <w:noProof/>
            <w:webHidden/>
          </w:rPr>
          <w:tab/>
        </w:r>
        <w:r>
          <w:rPr>
            <w:noProof/>
            <w:webHidden/>
          </w:rPr>
          <w:fldChar w:fldCharType="begin"/>
        </w:r>
        <w:r>
          <w:rPr>
            <w:noProof/>
            <w:webHidden/>
          </w:rPr>
          <w:instrText xml:space="preserve"> PAGEREF _Toc111190860 \h </w:instrText>
        </w:r>
        <w:r>
          <w:rPr>
            <w:noProof/>
            <w:webHidden/>
          </w:rPr>
        </w:r>
        <w:r>
          <w:rPr>
            <w:noProof/>
            <w:webHidden/>
          </w:rPr>
          <w:fldChar w:fldCharType="separate"/>
        </w:r>
        <w:r>
          <w:rPr>
            <w:noProof/>
            <w:webHidden/>
          </w:rPr>
          <w:t>2</w:t>
        </w:r>
        <w:r>
          <w:rPr>
            <w:noProof/>
            <w:webHidden/>
          </w:rPr>
          <w:fldChar w:fldCharType="end"/>
        </w:r>
      </w:hyperlink>
    </w:p>
    <w:p w14:paraId="4437DC91" w14:textId="04BC42A1" w:rsidR="009047A7" w:rsidRDefault="009047A7">
      <w:pPr>
        <w:pStyle w:val="TOC2"/>
        <w:tabs>
          <w:tab w:val="right" w:leader="underscore" w:pos="9016"/>
        </w:tabs>
        <w:rPr>
          <w:rFonts w:eastAsiaTheme="minorEastAsia"/>
          <w:noProof/>
          <w:color w:val="auto"/>
          <w:sz w:val="22"/>
          <w:szCs w:val="22"/>
          <w:lang w:eastAsia="en-GB"/>
        </w:rPr>
      </w:pPr>
      <w:hyperlink w:anchor="_Toc111190861" w:history="1">
        <w:r w:rsidRPr="007D1B31">
          <w:rPr>
            <w:rStyle w:val="Hyperlink"/>
            <w:noProof/>
          </w:rPr>
          <w:t>5.2.</w:t>
        </w:r>
        <w:r>
          <w:rPr>
            <w:rFonts w:eastAsiaTheme="minorEastAsia"/>
            <w:noProof/>
            <w:color w:val="auto"/>
            <w:sz w:val="22"/>
            <w:szCs w:val="22"/>
            <w:lang w:eastAsia="en-GB"/>
          </w:rPr>
          <w:tab/>
        </w:r>
        <w:r w:rsidRPr="007D1B31">
          <w:rPr>
            <w:rStyle w:val="Hyperlink"/>
            <w:noProof/>
          </w:rPr>
          <w:t>Audit Committee</w:t>
        </w:r>
        <w:r>
          <w:rPr>
            <w:noProof/>
            <w:webHidden/>
          </w:rPr>
          <w:tab/>
        </w:r>
        <w:r>
          <w:rPr>
            <w:noProof/>
            <w:webHidden/>
          </w:rPr>
          <w:fldChar w:fldCharType="begin"/>
        </w:r>
        <w:r>
          <w:rPr>
            <w:noProof/>
            <w:webHidden/>
          </w:rPr>
          <w:instrText xml:space="preserve"> PAGEREF _Toc111190861 \h </w:instrText>
        </w:r>
        <w:r>
          <w:rPr>
            <w:noProof/>
            <w:webHidden/>
          </w:rPr>
        </w:r>
        <w:r>
          <w:rPr>
            <w:noProof/>
            <w:webHidden/>
          </w:rPr>
          <w:fldChar w:fldCharType="separate"/>
        </w:r>
        <w:r>
          <w:rPr>
            <w:noProof/>
            <w:webHidden/>
          </w:rPr>
          <w:t>3</w:t>
        </w:r>
        <w:r>
          <w:rPr>
            <w:noProof/>
            <w:webHidden/>
          </w:rPr>
          <w:fldChar w:fldCharType="end"/>
        </w:r>
      </w:hyperlink>
    </w:p>
    <w:p w14:paraId="2E1578CC" w14:textId="7DA674A3" w:rsidR="009047A7" w:rsidRDefault="009047A7">
      <w:pPr>
        <w:pStyle w:val="TOC2"/>
        <w:tabs>
          <w:tab w:val="right" w:leader="underscore" w:pos="9016"/>
        </w:tabs>
        <w:rPr>
          <w:rFonts w:eastAsiaTheme="minorEastAsia"/>
          <w:noProof/>
          <w:color w:val="auto"/>
          <w:sz w:val="22"/>
          <w:szCs w:val="22"/>
          <w:lang w:eastAsia="en-GB"/>
        </w:rPr>
      </w:pPr>
      <w:hyperlink w:anchor="_Toc111190862" w:history="1">
        <w:r w:rsidRPr="007D1B31">
          <w:rPr>
            <w:rStyle w:val="Hyperlink"/>
            <w:noProof/>
          </w:rPr>
          <w:t>5.3.</w:t>
        </w:r>
        <w:r>
          <w:rPr>
            <w:rFonts w:eastAsiaTheme="minorEastAsia"/>
            <w:noProof/>
            <w:color w:val="auto"/>
            <w:sz w:val="22"/>
            <w:szCs w:val="22"/>
            <w:lang w:eastAsia="en-GB"/>
          </w:rPr>
          <w:tab/>
        </w:r>
        <w:r w:rsidRPr="007D1B31">
          <w:rPr>
            <w:rStyle w:val="Hyperlink"/>
            <w:noProof/>
          </w:rPr>
          <w:t>Chief Executive</w:t>
        </w:r>
        <w:r>
          <w:rPr>
            <w:noProof/>
            <w:webHidden/>
          </w:rPr>
          <w:tab/>
        </w:r>
        <w:r>
          <w:rPr>
            <w:noProof/>
            <w:webHidden/>
          </w:rPr>
          <w:fldChar w:fldCharType="begin"/>
        </w:r>
        <w:r>
          <w:rPr>
            <w:noProof/>
            <w:webHidden/>
          </w:rPr>
          <w:instrText xml:space="preserve"> PAGEREF _Toc111190862 \h </w:instrText>
        </w:r>
        <w:r>
          <w:rPr>
            <w:noProof/>
            <w:webHidden/>
          </w:rPr>
        </w:r>
        <w:r>
          <w:rPr>
            <w:noProof/>
            <w:webHidden/>
          </w:rPr>
          <w:fldChar w:fldCharType="separate"/>
        </w:r>
        <w:r>
          <w:rPr>
            <w:noProof/>
            <w:webHidden/>
          </w:rPr>
          <w:t>3</w:t>
        </w:r>
        <w:r>
          <w:rPr>
            <w:noProof/>
            <w:webHidden/>
          </w:rPr>
          <w:fldChar w:fldCharType="end"/>
        </w:r>
      </w:hyperlink>
    </w:p>
    <w:p w14:paraId="08C806F3" w14:textId="705741C1" w:rsidR="009047A7" w:rsidRDefault="009047A7">
      <w:pPr>
        <w:pStyle w:val="TOC2"/>
        <w:tabs>
          <w:tab w:val="right" w:leader="underscore" w:pos="9016"/>
        </w:tabs>
        <w:rPr>
          <w:rFonts w:eastAsiaTheme="minorEastAsia"/>
          <w:noProof/>
          <w:color w:val="auto"/>
          <w:sz w:val="22"/>
          <w:szCs w:val="22"/>
          <w:lang w:eastAsia="en-GB"/>
        </w:rPr>
      </w:pPr>
      <w:hyperlink w:anchor="_Toc111190863" w:history="1">
        <w:r w:rsidRPr="007D1B31">
          <w:rPr>
            <w:rStyle w:val="Hyperlink"/>
            <w:noProof/>
          </w:rPr>
          <w:t>5.4.</w:t>
        </w:r>
        <w:r>
          <w:rPr>
            <w:rFonts w:eastAsiaTheme="minorEastAsia"/>
            <w:noProof/>
            <w:color w:val="auto"/>
            <w:sz w:val="22"/>
            <w:szCs w:val="22"/>
            <w:lang w:eastAsia="en-GB"/>
          </w:rPr>
          <w:tab/>
        </w:r>
        <w:r w:rsidRPr="007D1B31">
          <w:rPr>
            <w:rStyle w:val="Hyperlink"/>
            <w:noProof/>
          </w:rPr>
          <w:t>Director of Resources</w:t>
        </w:r>
        <w:r>
          <w:rPr>
            <w:noProof/>
            <w:webHidden/>
          </w:rPr>
          <w:tab/>
        </w:r>
        <w:r>
          <w:rPr>
            <w:noProof/>
            <w:webHidden/>
          </w:rPr>
          <w:fldChar w:fldCharType="begin"/>
        </w:r>
        <w:r>
          <w:rPr>
            <w:noProof/>
            <w:webHidden/>
          </w:rPr>
          <w:instrText xml:space="preserve"> PAGEREF _Toc111190863 \h </w:instrText>
        </w:r>
        <w:r>
          <w:rPr>
            <w:noProof/>
            <w:webHidden/>
          </w:rPr>
        </w:r>
        <w:r>
          <w:rPr>
            <w:noProof/>
            <w:webHidden/>
          </w:rPr>
          <w:fldChar w:fldCharType="separate"/>
        </w:r>
        <w:r>
          <w:rPr>
            <w:noProof/>
            <w:webHidden/>
          </w:rPr>
          <w:t>3</w:t>
        </w:r>
        <w:r>
          <w:rPr>
            <w:noProof/>
            <w:webHidden/>
          </w:rPr>
          <w:fldChar w:fldCharType="end"/>
        </w:r>
      </w:hyperlink>
    </w:p>
    <w:p w14:paraId="7CBF4DC6" w14:textId="0A601D53" w:rsidR="009047A7" w:rsidRDefault="009047A7">
      <w:pPr>
        <w:pStyle w:val="TOC2"/>
        <w:tabs>
          <w:tab w:val="right" w:leader="underscore" w:pos="9016"/>
        </w:tabs>
        <w:rPr>
          <w:rFonts w:eastAsiaTheme="minorEastAsia"/>
          <w:noProof/>
          <w:color w:val="auto"/>
          <w:sz w:val="22"/>
          <w:szCs w:val="22"/>
          <w:lang w:eastAsia="en-GB"/>
        </w:rPr>
      </w:pPr>
      <w:hyperlink w:anchor="_Toc111190864" w:history="1">
        <w:r w:rsidRPr="007D1B31">
          <w:rPr>
            <w:rStyle w:val="Hyperlink"/>
            <w:noProof/>
          </w:rPr>
          <w:t>5.5.</w:t>
        </w:r>
        <w:r>
          <w:rPr>
            <w:rFonts w:eastAsiaTheme="minorEastAsia"/>
            <w:noProof/>
            <w:color w:val="auto"/>
            <w:sz w:val="22"/>
            <w:szCs w:val="22"/>
            <w:lang w:eastAsia="en-GB"/>
          </w:rPr>
          <w:tab/>
        </w:r>
        <w:r w:rsidRPr="007D1B31">
          <w:rPr>
            <w:rStyle w:val="Hyperlink"/>
            <w:noProof/>
          </w:rPr>
          <w:t>Local Security Management Specialist (LSMS)</w:t>
        </w:r>
        <w:r>
          <w:rPr>
            <w:noProof/>
            <w:webHidden/>
          </w:rPr>
          <w:tab/>
        </w:r>
        <w:r>
          <w:rPr>
            <w:noProof/>
            <w:webHidden/>
          </w:rPr>
          <w:fldChar w:fldCharType="begin"/>
        </w:r>
        <w:r>
          <w:rPr>
            <w:noProof/>
            <w:webHidden/>
          </w:rPr>
          <w:instrText xml:space="preserve"> PAGEREF _Toc111190864 \h </w:instrText>
        </w:r>
        <w:r>
          <w:rPr>
            <w:noProof/>
            <w:webHidden/>
          </w:rPr>
        </w:r>
        <w:r>
          <w:rPr>
            <w:noProof/>
            <w:webHidden/>
          </w:rPr>
          <w:fldChar w:fldCharType="separate"/>
        </w:r>
        <w:r>
          <w:rPr>
            <w:noProof/>
            <w:webHidden/>
          </w:rPr>
          <w:t>3</w:t>
        </w:r>
        <w:r>
          <w:rPr>
            <w:noProof/>
            <w:webHidden/>
          </w:rPr>
          <w:fldChar w:fldCharType="end"/>
        </w:r>
      </w:hyperlink>
    </w:p>
    <w:p w14:paraId="5217994B" w14:textId="0F0224E2" w:rsidR="009047A7" w:rsidRDefault="009047A7">
      <w:pPr>
        <w:pStyle w:val="TOC2"/>
        <w:tabs>
          <w:tab w:val="right" w:leader="underscore" w:pos="9016"/>
        </w:tabs>
        <w:rPr>
          <w:rFonts w:eastAsiaTheme="minorEastAsia"/>
          <w:noProof/>
          <w:color w:val="auto"/>
          <w:sz w:val="22"/>
          <w:szCs w:val="22"/>
          <w:lang w:eastAsia="en-GB"/>
        </w:rPr>
      </w:pPr>
      <w:hyperlink w:anchor="_Toc111190865" w:history="1">
        <w:r w:rsidRPr="007D1B31">
          <w:rPr>
            <w:rStyle w:val="Hyperlink"/>
            <w:noProof/>
          </w:rPr>
          <w:t>5.6.</w:t>
        </w:r>
        <w:r>
          <w:rPr>
            <w:rFonts w:eastAsiaTheme="minorEastAsia"/>
            <w:noProof/>
            <w:color w:val="auto"/>
            <w:sz w:val="22"/>
            <w:szCs w:val="22"/>
            <w:lang w:eastAsia="en-GB"/>
          </w:rPr>
          <w:tab/>
        </w:r>
        <w:r w:rsidRPr="007D1B31">
          <w:rPr>
            <w:rStyle w:val="Hyperlink"/>
            <w:noProof/>
          </w:rPr>
          <w:t>Policy Author</w:t>
        </w:r>
        <w:r>
          <w:rPr>
            <w:noProof/>
            <w:webHidden/>
          </w:rPr>
          <w:tab/>
        </w:r>
        <w:r>
          <w:rPr>
            <w:noProof/>
            <w:webHidden/>
          </w:rPr>
          <w:fldChar w:fldCharType="begin"/>
        </w:r>
        <w:r>
          <w:rPr>
            <w:noProof/>
            <w:webHidden/>
          </w:rPr>
          <w:instrText xml:space="preserve"> PAGEREF _Toc111190865 \h </w:instrText>
        </w:r>
        <w:r>
          <w:rPr>
            <w:noProof/>
            <w:webHidden/>
          </w:rPr>
        </w:r>
        <w:r>
          <w:rPr>
            <w:noProof/>
            <w:webHidden/>
          </w:rPr>
          <w:fldChar w:fldCharType="separate"/>
        </w:r>
        <w:r>
          <w:rPr>
            <w:noProof/>
            <w:webHidden/>
          </w:rPr>
          <w:t>4</w:t>
        </w:r>
        <w:r>
          <w:rPr>
            <w:noProof/>
            <w:webHidden/>
          </w:rPr>
          <w:fldChar w:fldCharType="end"/>
        </w:r>
      </w:hyperlink>
    </w:p>
    <w:p w14:paraId="6E60AF88" w14:textId="4FF7BFFB" w:rsidR="009047A7" w:rsidRDefault="009047A7">
      <w:pPr>
        <w:pStyle w:val="TOC2"/>
        <w:tabs>
          <w:tab w:val="right" w:leader="underscore" w:pos="9016"/>
        </w:tabs>
        <w:rPr>
          <w:rFonts w:eastAsiaTheme="minorEastAsia"/>
          <w:noProof/>
          <w:color w:val="auto"/>
          <w:sz w:val="22"/>
          <w:szCs w:val="22"/>
          <w:lang w:eastAsia="en-GB"/>
        </w:rPr>
      </w:pPr>
      <w:hyperlink w:anchor="_Toc111190866" w:history="1">
        <w:r w:rsidRPr="007D1B31">
          <w:rPr>
            <w:rStyle w:val="Hyperlink"/>
            <w:noProof/>
          </w:rPr>
          <w:t>5.7.</w:t>
        </w:r>
        <w:r>
          <w:rPr>
            <w:rFonts w:eastAsiaTheme="minorEastAsia"/>
            <w:noProof/>
            <w:color w:val="auto"/>
            <w:sz w:val="22"/>
            <w:szCs w:val="22"/>
            <w:lang w:eastAsia="en-GB"/>
          </w:rPr>
          <w:tab/>
        </w:r>
        <w:r w:rsidRPr="007D1B31">
          <w:rPr>
            <w:rStyle w:val="Hyperlink"/>
            <w:noProof/>
          </w:rPr>
          <w:t>Line Managers</w:t>
        </w:r>
        <w:r>
          <w:rPr>
            <w:noProof/>
            <w:webHidden/>
          </w:rPr>
          <w:tab/>
        </w:r>
        <w:r>
          <w:rPr>
            <w:noProof/>
            <w:webHidden/>
          </w:rPr>
          <w:fldChar w:fldCharType="begin"/>
        </w:r>
        <w:r>
          <w:rPr>
            <w:noProof/>
            <w:webHidden/>
          </w:rPr>
          <w:instrText xml:space="preserve"> PAGEREF _Toc111190866 \h </w:instrText>
        </w:r>
        <w:r>
          <w:rPr>
            <w:noProof/>
            <w:webHidden/>
          </w:rPr>
        </w:r>
        <w:r>
          <w:rPr>
            <w:noProof/>
            <w:webHidden/>
          </w:rPr>
          <w:fldChar w:fldCharType="separate"/>
        </w:r>
        <w:r>
          <w:rPr>
            <w:noProof/>
            <w:webHidden/>
          </w:rPr>
          <w:t>4</w:t>
        </w:r>
        <w:r>
          <w:rPr>
            <w:noProof/>
            <w:webHidden/>
          </w:rPr>
          <w:fldChar w:fldCharType="end"/>
        </w:r>
      </w:hyperlink>
    </w:p>
    <w:p w14:paraId="0E3AD3B8" w14:textId="599E1676" w:rsidR="009047A7" w:rsidRDefault="009047A7">
      <w:pPr>
        <w:pStyle w:val="TOC2"/>
        <w:tabs>
          <w:tab w:val="right" w:leader="underscore" w:pos="9016"/>
        </w:tabs>
        <w:rPr>
          <w:rFonts w:eastAsiaTheme="minorEastAsia"/>
          <w:noProof/>
          <w:color w:val="auto"/>
          <w:sz w:val="22"/>
          <w:szCs w:val="22"/>
          <w:lang w:eastAsia="en-GB"/>
        </w:rPr>
      </w:pPr>
      <w:hyperlink w:anchor="_Toc111190867" w:history="1">
        <w:r w:rsidRPr="007D1B31">
          <w:rPr>
            <w:rStyle w:val="Hyperlink"/>
            <w:noProof/>
          </w:rPr>
          <w:t>5.8.</w:t>
        </w:r>
        <w:r>
          <w:rPr>
            <w:rFonts w:eastAsiaTheme="minorEastAsia"/>
            <w:noProof/>
            <w:color w:val="auto"/>
            <w:sz w:val="22"/>
            <w:szCs w:val="22"/>
            <w:lang w:eastAsia="en-GB"/>
          </w:rPr>
          <w:tab/>
        </w:r>
        <w:r w:rsidRPr="007D1B31">
          <w:rPr>
            <w:rStyle w:val="Hyperlink"/>
            <w:noProof/>
          </w:rPr>
          <w:t>All Staff</w:t>
        </w:r>
        <w:r>
          <w:rPr>
            <w:noProof/>
            <w:webHidden/>
          </w:rPr>
          <w:tab/>
        </w:r>
        <w:r>
          <w:rPr>
            <w:noProof/>
            <w:webHidden/>
          </w:rPr>
          <w:fldChar w:fldCharType="begin"/>
        </w:r>
        <w:r>
          <w:rPr>
            <w:noProof/>
            <w:webHidden/>
          </w:rPr>
          <w:instrText xml:space="preserve"> PAGEREF _Toc111190867 \h </w:instrText>
        </w:r>
        <w:r>
          <w:rPr>
            <w:noProof/>
            <w:webHidden/>
          </w:rPr>
        </w:r>
        <w:r>
          <w:rPr>
            <w:noProof/>
            <w:webHidden/>
          </w:rPr>
          <w:fldChar w:fldCharType="separate"/>
        </w:r>
        <w:r>
          <w:rPr>
            <w:noProof/>
            <w:webHidden/>
          </w:rPr>
          <w:t>5</w:t>
        </w:r>
        <w:r>
          <w:rPr>
            <w:noProof/>
            <w:webHidden/>
          </w:rPr>
          <w:fldChar w:fldCharType="end"/>
        </w:r>
      </w:hyperlink>
    </w:p>
    <w:p w14:paraId="01D8EF1F" w14:textId="27DFF364" w:rsidR="009047A7" w:rsidRDefault="009047A7">
      <w:pPr>
        <w:pStyle w:val="TOC1"/>
        <w:rPr>
          <w:rFonts w:eastAsiaTheme="minorEastAsia"/>
          <w:b w:val="0"/>
          <w:noProof/>
          <w:color w:val="auto"/>
          <w:sz w:val="22"/>
          <w:szCs w:val="22"/>
          <w:lang w:eastAsia="en-GB"/>
        </w:rPr>
      </w:pPr>
      <w:hyperlink w:anchor="_Toc111190868" w:history="1">
        <w:r w:rsidRPr="007D1B31">
          <w:rPr>
            <w:rStyle w:val="Hyperlink"/>
            <w:noProof/>
          </w:rPr>
          <w:t>6.</w:t>
        </w:r>
        <w:r>
          <w:rPr>
            <w:rFonts w:eastAsiaTheme="minorEastAsia"/>
            <w:b w:val="0"/>
            <w:noProof/>
            <w:color w:val="auto"/>
            <w:sz w:val="22"/>
            <w:szCs w:val="22"/>
            <w:lang w:eastAsia="en-GB"/>
          </w:rPr>
          <w:tab/>
        </w:r>
        <w:r w:rsidRPr="007D1B31">
          <w:rPr>
            <w:rStyle w:val="Hyperlink"/>
            <w:noProof/>
          </w:rPr>
          <w:t>Policy Detail</w:t>
        </w:r>
        <w:r>
          <w:rPr>
            <w:noProof/>
            <w:webHidden/>
          </w:rPr>
          <w:tab/>
        </w:r>
        <w:r>
          <w:rPr>
            <w:noProof/>
            <w:webHidden/>
          </w:rPr>
          <w:fldChar w:fldCharType="begin"/>
        </w:r>
        <w:r>
          <w:rPr>
            <w:noProof/>
            <w:webHidden/>
          </w:rPr>
          <w:instrText xml:space="preserve"> PAGEREF _Toc111190868 \h </w:instrText>
        </w:r>
        <w:r>
          <w:rPr>
            <w:noProof/>
            <w:webHidden/>
          </w:rPr>
        </w:r>
        <w:r>
          <w:rPr>
            <w:noProof/>
            <w:webHidden/>
          </w:rPr>
          <w:fldChar w:fldCharType="separate"/>
        </w:r>
        <w:r>
          <w:rPr>
            <w:noProof/>
            <w:webHidden/>
          </w:rPr>
          <w:t>5</w:t>
        </w:r>
        <w:r>
          <w:rPr>
            <w:noProof/>
            <w:webHidden/>
          </w:rPr>
          <w:fldChar w:fldCharType="end"/>
        </w:r>
      </w:hyperlink>
    </w:p>
    <w:p w14:paraId="7A5A315B" w14:textId="73D2571D" w:rsidR="009047A7" w:rsidRDefault="009047A7">
      <w:pPr>
        <w:pStyle w:val="TOC2"/>
        <w:tabs>
          <w:tab w:val="right" w:leader="underscore" w:pos="9016"/>
        </w:tabs>
        <w:rPr>
          <w:rFonts w:eastAsiaTheme="minorEastAsia"/>
          <w:noProof/>
          <w:color w:val="auto"/>
          <w:sz w:val="22"/>
          <w:szCs w:val="22"/>
          <w:lang w:eastAsia="en-GB"/>
        </w:rPr>
      </w:pPr>
      <w:hyperlink w:anchor="_Toc111190869" w:history="1">
        <w:r w:rsidRPr="007D1B31">
          <w:rPr>
            <w:rStyle w:val="Hyperlink"/>
            <w:bCs/>
            <w:noProof/>
          </w:rPr>
          <w:t>6.1.</w:t>
        </w:r>
        <w:r>
          <w:rPr>
            <w:rFonts w:eastAsiaTheme="minorEastAsia"/>
            <w:noProof/>
            <w:color w:val="auto"/>
            <w:sz w:val="22"/>
            <w:szCs w:val="22"/>
            <w:lang w:eastAsia="en-GB"/>
          </w:rPr>
          <w:tab/>
        </w:r>
        <w:r w:rsidRPr="007D1B31">
          <w:rPr>
            <w:rStyle w:val="Hyperlink"/>
            <w:noProof/>
          </w:rPr>
          <w:t>Incidents of Violence, Aggression and Vexatious Behaviour</w:t>
        </w:r>
        <w:r>
          <w:rPr>
            <w:noProof/>
            <w:webHidden/>
          </w:rPr>
          <w:tab/>
        </w:r>
        <w:r>
          <w:rPr>
            <w:noProof/>
            <w:webHidden/>
          </w:rPr>
          <w:fldChar w:fldCharType="begin"/>
        </w:r>
        <w:r>
          <w:rPr>
            <w:noProof/>
            <w:webHidden/>
          </w:rPr>
          <w:instrText xml:space="preserve"> PAGEREF _Toc111190869 \h </w:instrText>
        </w:r>
        <w:r>
          <w:rPr>
            <w:noProof/>
            <w:webHidden/>
          </w:rPr>
        </w:r>
        <w:r>
          <w:rPr>
            <w:noProof/>
            <w:webHidden/>
          </w:rPr>
          <w:fldChar w:fldCharType="separate"/>
        </w:r>
        <w:r>
          <w:rPr>
            <w:noProof/>
            <w:webHidden/>
          </w:rPr>
          <w:t>5</w:t>
        </w:r>
        <w:r>
          <w:rPr>
            <w:noProof/>
            <w:webHidden/>
          </w:rPr>
          <w:fldChar w:fldCharType="end"/>
        </w:r>
      </w:hyperlink>
    </w:p>
    <w:p w14:paraId="712459A2" w14:textId="6EB42D8D" w:rsidR="009047A7" w:rsidRDefault="009047A7">
      <w:pPr>
        <w:pStyle w:val="TOC2"/>
        <w:tabs>
          <w:tab w:val="right" w:leader="underscore" w:pos="9016"/>
        </w:tabs>
        <w:rPr>
          <w:rFonts w:eastAsiaTheme="minorEastAsia"/>
          <w:noProof/>
          <w:color w:val="auto"/>
          <w:sz w:val="22"/>
          <w:szCs w:val="22"/>
          <w:lang w:eastAsia="en-GB"/>
        </w:rPr>
      </w:pPr>
      <w:hyperlink w:anchor="_Toc111190870" w:history="1">
        <w:r w:rsidRPr="007D1B31">
          <w:rPr>
            <w:rStyle w:val="Hyperlink"/>
            <w:rFonts w:eastAsia="Calibri"/>
            <w:noProof/>
          </w:rPr>
          <w:t>6.2.</w:t>
        </w:r>
        <w:r>
          <w:rPr>
            <w:rFonts w:eastAsiaTheme="minorEastAsia"/>
            <w:noProof/>
            <w:color w:val="auto"/>
            <w:sz w:val="22"/>
            <w:szCs w:val="22"/>
            <w:lang w:eastAsia="en-GB"/>
          </w:rPr>
          <w:tab/>
        </w:r>
        <w:r w:rsidRPr="007D1B31">
          <w:rPr>
            <w:rStyle w:val="Hyperlink"/>
            <w:noProof/>
          </w:rPr>
          <w:t>Physical Assault</w:t>
        </w:r>
        <w:r>
          <w:rPr>
            <w:noProof/>
            <w:webHidden/>
          </w:rPr>
          <w:tab/>
        </w:r>
        <w:r>
          <w:rPr>
            <w:noProof/>
            <w:webHidden/>
          </w:rPr>
          <w:fldChar w:fldCharType="begin"/>
        </w:r>
        <w:r>
          <w:rPr>
            <w:noProof/>
            <w:webHidden/>
          </w:rPr>
          <w:instrText xml:space="preserve"> PAGEREF _Toc111190870 \h </w:instrText>
        </w:r>
        <w:r>
          <w:rPr>
            <w:noProof/>
            <w:webHidden/>
          </w:rPr>
        </w:r>
        <w:r>
          <w:rPr>
            <w:noProof/>
            <w:webHidden/>
          </w:rPr>
          <w:fldChar w:fldCharType="separate"/>
        </w:r>
        <w:r>
          <w:rPr>
            <w:noProof/>
            <w:webHidden/>
          </w:rPr>
          <w:t>6</w:t>
        </w:r>
        <w:r>
          <w:rPr>
            <w:noProof/>
            <w:webHidden/>
          </w:rPr>
          <w:fldChar w:fldCharType="end"/>
        </w:r>
      </w:hyperlink>
    </w:p>
    <w:p w14:paraId="1A8F8A13" w14:textId="51547D6A" w:rsidR="009047A7" w:rsidRDefault="009047A7">
      <w:pPr>
        <w:pStyle w:val="TOC2"/>
        <w:tabs>
          <w:tab w:val="right" w:leader="underscore" w:pos="9016"/>
        </w:tabs>
        <w:rPr>
          <w:rFonts w:eastAsiaTheme="minorEastAsia"/>
          <w:noProof/>
          <w:color w:val="auto"/>
          <w:sz w:val="22"/>
          <w:szCs w:val="22"/>
          <w:lang w:eastAsia="en-GB"/>
        </w:rPr>
      </w:pPr>
      <w:hyperlink w:anchor="_Toc111190871" w:history="1">
        <w:r w:rsidRPr="007D1B31">
          <w:rPr>
            <w:rStyle w:val="Hyperlink"/>
            <w:rFonts w:eastAsia="Calibri"/>
            <w:noProof/>
          </w:rPr>
          <w:t>6.3</w:t>
        </w:r>
        <w:r>
          <w:rPr>
            <w:rFonts w:eastAsiaTheme="minorEastAsia"/>
            <w:noProof/>
            <w:color w:val="auto"/>
            <w:sz w:val="22"/>
            <w:szCs w:val="22"/>
            <w:lang w:eastAsia="en-GB"/>
          </w:rPr>
          <w:tab/>
        </w:r>
        <w:r w:rsidRPr="007D1B31">
          <w:rPr>
            <w:rStyle w:val="Hyperlink"/>
            <w:rFonts w:eastAsia="Calibri"/>
            <w:noProof/>
          </w:rPr>
          <w:t>Non-Physical Assault</w:t>
        </w:r>
        <w:r>
          <w:rPr>
            <w:noProof/>
            <w:webHidden/>
          </w:rPr>
          <w:tab/>
        </w:r>
        <w:r>
          <w:rPr>
            <w:noProof/>
            <w:webHidden/>
          </w:rPr>
          <w:fldChar w:fldCharType="begin"/>
        </w:r>
        <w:r>
          <w:rPr>
            <w:noProof/>
            <w:webHidden/>
          </w:rPr>
          <w:instrText xml:space="preserve"> PAGEREF _Toc111190871 \h </w:instrText>
        </w:r>
        <w:r>
          <w:rPr>
            <w:noProof/>
            <w:webHidden/>
          </w:rPr>
        </w:r>
        <w:r>
          <w:rPr>
            <w:noProof/>
            <w:webHidden/>
          </w:rPr>
          <w:fldChar w:fldCharType="separate"/>
        </w:r>
        <w:r>
          <w:rPr>
            <w:noProof/>
            <w:webHidden/>
          </w:rPr>
          <w:t>7</w:t>
        </w:r>
        <w:r>
          <w:rPr>
            <w:noProof/>
            <w:webHidden/>
          </w:rPr>
          <w:fldChar w:fldCharType="end"/>
        </w:r>
      </w:hyperlink>
    </w:p>
    <w:p w14:paraId="0FB0B5E0" w14:textId="005EEC61" w:rsidR="009047A7" w:rsidRDefault="009047A7">
      <w:pPr>
        <w:pStyle w:val="TOC2"/>
        <w:tabs>
          <w:tab w:val="right" w:leader="underscore" w:pos="9016"/>
        </w:tabs>
        <w:rPr>
          <w:rFonts w:eastAsiaTheme="minorEastAsia"/>
          <w:noProof/>
          <w:color w:val="auto"/>
          <w:sz w:val="22"/>
          <w:szCs w:val="22"/>
          <w:lang w:eastAsia="en-GB"/>
        </w:rPr>
      </w:pPr>
      <w:hyperlink w:anchor="_Toc111190872" w:history="1">
        <w:r w:rsidRPr="007D1B31">
          <w:rPr>
            <w:rStyle w:val="Hyperlink"/>
            <w:rFonts w:eastAsia="Times New Roman"/>
            <w:noProof/>
            <w:lang w:val="en-US"/>
          </w:rPr>
          <w:t>6.3</w:t>
        </w:r>
        <w:r>
          <w:rPr>
            <w:rFonts w:eastAsiaTheme="minorEastAsia"/>
            <w:noProof/>
            <w:color w:val="auto"/>
            <w:sz w:val="22"/>
            <w:szCs w:val="22"/>
            <w:lang w:eastAsia="en-GB"/>
          </w:rPr>
          <w:tab/>
        </w:r>
        <w:r w:rsidRPr="007D1B31">
          <w:rPr>
            <w:rStyle w:val="Hyperlink"/>
            <w:rFonts w:eastAsia="Times New Roman"/>
            <w:noProof/>
            <w:lang w:val="en-US"/>
          </w:rPr>
          <w:t>Vexatious Behaviour</w:t>
        </w:r>
        <w:r>
          <w:rPr>
            <w:noProof/>
            <w:webHidden/>
          </w:rPr>
          <w:tab/>
        </w:r>
        <w:r>
          <w:rPr>
            <w:noProof/>
            <w:webHidden/>
          </w:rPr>
          <w:fldChar w:fldCharType="begin"/>
        </w:r>
        <w:r>
          <w:rPr>
            <w:noProof/>
            <w:webHidden/>
          </w:rPr>
          <w:instrText xml:space="preserve"> PAGEREF _Toc111190872 \h </w:instrText>
        </w:r>
        <w:r>
          <w:rPr>
            <w:noProof/>
            <w:webHidden/>
          </w:rPr>
        </w:r>
        <w:r>
          <w:rPr>
            <w:noProof/>
            <w:webHidden/>
          </w:rPr>
          <w:fldChar w:fldCharType="separate"/>
        </w:r>
        <w:r>
          <w:rPr>
            <w:noProof/>
            <w:webHidden/>
          </w:rPr>
          <w:t>8</w:t>
        </w:r>
        <w:r>
          <w:rPr>
            <w:noProof/>
            <w:webHidden/>
          </w:rPr>
          <w:fldChar w:fldCharType="end"/>
        </w:r>
      </w:hyperlink>
    </w:p>
    <w:p w14:paraId="093E03FB" w14:textId="06DFC91D" w:rsidR="009047A7" w:rsidRDefault="009047A7">
      <w:pPr>
        <w:pStyle w:val="TOC2"/>
        <w:tabs>
          <w:tab w:val="right" w:leader="underscore" w:pos="9016"/>
        </w:tabs>
        <w:rPr>
          <w:rFonts w:eastAsiaTheme="minorEastAsia"/>
          <w:noProof/>
          <w:color w:val="auto"/>
          <w:sz w:val="22"/>
          <w:szCs w:val="22"/>
          <w:lang w:eastAsia="en-GB"/>
        </w:rPr>
      </w:pPr>
      <w:hyperlink w:anchor="_Toc111190873" w:history="1">
        <w:r w:rsidRPr="007D1B31">
          <w:rPr>
            <w:rStyle w:val="Hyperlink"/>
            <w:noProof/>
          </w:rPr>
          <w:t>6.4</w:t>
        </w:r>
        <w:r>
          <w:rPr>
            <w:rFonts w:eastAsiaTheme="minorEastAsia"/>
            <w:noProof/>
            <w:color w:val="auto"/>
            <w:sz w:val="22"/>
            <w:szCs w:val="22"/>
            <w:lang w:eastAsia="en-GB"/>
          </w:rPr>
          <w:tab/>
        </w:r>
        <w:r w:rsidRPr="007D1B31">
          <w:rPr>
            <w:rStyle w:val="Hyperlink"/>
            <w:noProof/>
          </w:rPr>
          <w:t>Acknowledgement of Responsibilities (ARA)</w:t>
        </w:r>
        <w:r>
          <w:rPr>
            <w:noProof/>
            <w:webHidden/>
          </w:rPr>
          <w:tab/>
        </w:r>
        <w:r>
          <w:rPr>
            <w:noProof/>
            <w:webHidden/>
          </w:rPr>
          <w:fldChar w:fldCharType="begin"/>
        </w:r>
        <w:r>
          <w:rPr>
            <w:noProof/>
            <w:webHidden/>
          </w:rPr>
          <w:instrText xml:space="preserve"> PAGEREF _Toc111190873 \h </w:instrText>
        </w:r>
        <w:r>
          <w:rPr>
            <w:noProof/>
            <w:webHidden/>
          </w:rPr>
        </w:r>
        <w:r>
          <w:rPr>
            <w:noProof/>
            <w:webHidden/>
          </w:rPr>
          <w:fldChar w:fldCharType="separate"/>
        </w:r>
        <w:r>
          <w:rPr>
            <w:noProof/>
            <w:webHidden/>
          </w:rPr>
          <w:t>9</w:t>
        </w:r>
        <w:r>
          <w:rPr>
            <w:noProof/>
            <w:webHidden/>
          </w:rPr>
          <w:fldChar w:fldCharType="end"/>
        </w:r>
      </w:hyperlink>
    </w:p>
    <w:p w14:paraId="2B2B711A" w14:textId="6AE42A13" w:rsidR="009047A7" w:rsidRDefault="009047A7">
      <w:pPr>
        <w:pStyle w:val="TOC2"/>
        <w:tabs>
          <w:tab w:val="right" w:leader="underscore" w:pos="9016"/>
        </w:tabs>
        <w:rPr>
          <w:rFonts w:eastAsiaTheme="minorEastAsia"/>
          <w:noProof/>
          <w:color w:val="auto"/>
          <w:sz w:val="22"/>
          <w:szCs w:val="22"/>
          <w:lang w:eastAsia="en-GB"/>
        </w:rPr>
      </w:pPr>
      <w:hyperlink w:anchor="_Toc111190874" w:history="1">
        <w:r w:rsidRPr="007D1B31">
          <w:rPr>
            <w:rStyle w:val="Hyperlink"/>
            <w:rFonts w:eastAsia="Times New Roman"/>
            <w:noProof/>
            <w:lang w:val="en-US"/>
          </w:rPr>
          <w:t>6.5</w:t>
        </w:r>
        <w:r>
          <w:rPr>
            <w:rFonts w:eastAsiaTheme="minorEastAsia"/>
            <w:noProof/>
            <w:color w:val="auto"/>
            <w:sz w:val="22"/>
            <w:szCs w:val="22"/>
            <w:lang w:eastAsia="en-GB"/>
          </w:rPr>
          <w:tab/>
        </w:r>
        <w:r w:rsidRPr="007D1B31">
          <w:rPr>
            <w:rStyle w:val="Hyperlink"/>
            <w:rFonts w:eastAsia="Times New Roman"/>
            <w:noProof/>
            <w:lang w:val="en-US"/>
          </w:rPr>
          <w:t>Information Sharing</w:t>
        </w:r>
        <w:r>
          <w:rPr>
            <w:noProof/>
            <w:webHidden/>
          </w:rPr>
          <w:tab/>
        </w:r>
        <w:r>
          <w:rPr>
            <w:noProof/>
            <w:webHidden/>
          </w:rPr>
          <w:fldChar w:fldCharType="begin"/>
        </w:r>
        <w:r>
          <w:rPr>
            <w:noProof/>
            <w:webHidden/>
          </w:rPr>
          <w:instrText xml:space="preserve"> PAGEREF _Toc111190874 \h </w:instrText>
        </w:r>
        <w:r>
          <w:rPr>
            <w:noProof/>
            <w:webHidden/>
          </w:rPr>
        </w:r>
        <w:r>
          <w:rPr>
            <w:noProof/>
            <w:webHidden/>
          </w:rPr>
          <w:fldChar w:fldCharType="separate"/>
        </w:r>
        <w:r>
          <w:rPr>
            <w:noProof/>
            <w:webHidden/>
          </w:rPr>
          <w:t>10</w:t>
        </w:r>
        <w:r>
          <w:rPr>
            <w:noProof/>
            <w:webHidden/>
          </w:rPr>
          <w:fldChar w:fldCharType="end"/>
        </w:r>
      </w:hyperlink>
    </w:p>
    <w:p w14:paraId="3C9EBFC6" w14:textId="17CC349F" w:rsidR="009047A7" w:rsidRDefault="009047A7">
      <w:pPr>
        <w:pStyle w:val="TOC1"/>
        <w:rPr>
          <w:rFonts w:eastAsiaTheme="minorEastAsia"/>
          <w:b w:val="0"/>
          <w:noProof/>
          <w:color w:val="auto"/>
          <w:sz w:val="22"/>
          <w:szCs w:val="22"/>
          <w:lang w:eastAsia="en-GB"/>
        </w:rPr>
      </w:pPr>
      <w:hyperlink w:anchor="_Toc111190875" w:history="1">
        <w:r w:rsidRPr="007D1B31">
          <w:rPr>
            <w:rStyle w:val="Hyperlink"/>
            <w:noProof/>
          </w:rPr>
          <w:t>7</w:t>
        </w:r>
        <w:r>
          <w:rPr>
            <w:rFonts w:eastAsiaTheme="minorEastAsia"/>
            <w:b w:val="0"/>
            <w:noProof/>
            <w:color w:val="auto"/>
            <w:sz w:val="22"/>
            <w:szCs w:val="22"/>
            <w:lang w:eastAsia="en-GB"/>
          </w:rPr>
          <w:tab/>
        </w:r>
        <w:r w:rsidRPr="007D1B31">
          <w:rPr>
            <w:rStyle w:val="Hyperlink"/>
            <w:noProof/>
          </w:rPr>
          <w:t>Monitoring Compliance</w:t>
        </w:r>
        <w:r>
          <w:rPr>
            <w:noProof/>
            <w:webHidden/>
          </w:rPr>
          <w:tab/>
        </w:r>
        <w:r>
          <w:rPr>
            <w:noProof/>
            <w:webHidden/>
          </w:rPr>
          <w:fldChar w:fldCharType="begin"/>
        </w:r>
        <w:r>
          <w:rPr>
            <w:noProof/>
            <w:webHidden/>
          </w:rPr>
          <w:instrText xml:space="preserve"> PAGEREF _Toc111190875 \h </w:instrText>
        </w:r>
        <w:r>
          <w:rPr>
            <w:noProof/>
            <w:webHidden/>
          </w:rPr>
        </w:r>
        <w:r>
          <w:rPr>
            <w:noProof/>
            <w:webHidden/>
          </w:rPr>
          <w:fldChar w:fldCharType="separate"/>
        </w:r>
        <w:r>
          <w:rPr>
            <w:noProof/>
            <w:webHidden/>
          </w:rPr>
          <w:t>10</w:t>
        </w:r>
        <w:r>
          <w:rPr>
            <w:noProof/>
            <w:webHidden/>
          </w:rPr>
          <w:fldChar w:fldCharType="end"/>
        </w:r>
      </w:hyperlink>
    </w:p>
    <w:p w14:paraId="312FD3CA" w14:textId="00BEA8F2" w:rsidR="009047A7" w:rsidRDefault="009047A7">
      <w:pPr>
        <w:pStyle w:val="TOC1"/>
        <w:rPr>
          <w:rFonts w:eastAsiaTheme="minorEastAsia"/>
          <w:b w:val="0"/>
          <w:noProof/>
          <w:color w:val="auto"/>
          <w:sz w:val="22"/>
          <w:szCs w:val="22"/>
          <w:lang w:eastAsia="en-GB"/>
        </w:rPr>
      </w:pPr>
      <w:hyperlink w:anchor="_Toc111190876" w:history="1">
        <w:r w:rsidRPr="007D1B31">
          <w:rPr>
            <w:rStyle w:val="Hyperlink"/>
            <w:noProof/>
          </w:rPr>
          <w:t>8</w:t>
        </w:r>
        <w:r>
          <w:rPr>
            <w:rFonts w:eastAsiaTheme="minorEastAsia"/>
            <w:b w:val="0"/>
            <w:noProof/>
            <w:color w:val="auto"/>
            <w:sz w:val="22"/>
            <w:szCs w:val="22"/>
            <w:lang w:eastAsia="en-GB"/>
          </w:rPr>
          <w:tab/>
        </w:r>
        <w:r w:rsidRPr="007D1B31">
          <w:rPr>
            <w:rStyle w:val="Hyperlink"/>
            <w:noProof/>
          </w:rPr>
          <w:t>Staff Training</w:t>
        </w:r>
        <w:r>
          <w:rPr>
            <w:noProof/>
            <w:webHidden/>
          </w:rPr>
          <w:tab/>
        </w:r>
        <w:r>
          <w:rPr>
            <w:noProof/>
            <w:webHidden/>
          </w:rPr>
          <w:fldChar w:fldCharType="begin"/>
        </w:r>
        <w:r>
          <w:rPr>
            <w:noProof/>
            <w:webHidden/>
          </w:rPr>
          <w:instrText xml:space="preserve"> PAGEREF _Toc111190876 \h </w:instrText>
        </w:r>
        <w:r>
          <w:rPr>
            <w:noProof/>
            <w:webHidden/>
          </w:rPr>
        </w:r>
        <w:r>
          <w:rPr>
            <w:noProof/>
            <w:webHidden/>
          </w:rPr>
          <w:fldChar w:fldCharType="separate"/>
        </w:r>
        <w:r>
          <w:rPr>
            <w:noProof/>
            <w:webHidden/>
          </w:rPr>
          <w:t>11</w:t>
        </w:r>
        <w:r>
          <w:rPr>
            <w:noProof/>
            <w:webHidden/>
          </w:rPr>
          <w:fldChar w:fldCharType="end"/>
        </w:r>
      </w:hyperlink>
    </w:p>
    <w:p w14:paraId="12DCC374" w14:textId="43A9C069" w:rsidR="009047A7" w:rsidRDefault="009047A7">
      <w:pPr>
        <w:pStyle w:val="TOC1"/>
        <w:rPr>
          <w:rFonts w:eastAsiaTheme="minorEastAsia"/>
          <w:b w:val="0"/>
          <w:noProof/>
          <w:color w:val="auto"/>
          <w:sz w:val="22"/>
          <w:szCs w:val="22"/>
          <w:lang w:eastAsia="en-GB"/>
        </w:rPr>
      </w:pPr>
      <w:hyperlink w:anchor="_Toc111190877" w:history="1">
        <w:r w:rsidRPr="007D1B31">
          <w:rPr>
            <w:rStyle w:val="Hyperlink"/>
            <w:noProof/>
          </w:rPr>
          <w:t>9</w:t>
        </w:r>
        <w:r>
          <w:rPr>
            <w:rFonts w:eastAsiaTheme="minorEastAsia"/>
            <w:b w:val="0"/>
            <w:noProof/>
            <w:color w:val="auto"/>
            <w:sz w:val="22"/>
            <w:szCs w:val="22"/>
            <w:lang w:eastAsia="en-GB"/>
          </w:rPr>
          <w:tab/>
        </w:r>
        <w:r w:rsidRPr="007D1B31">
          <w:rPr>
            <w:rStyle w:val="Hyperlink"/>
            <w:noProof/>
          </w:rPr>
          <w:t>Arrangements for Review</w:t>
        </w:r>
        <w:r>
          <w:rPr>
            <w:noProof/>
            <w:webHidden/>
          </w:rPr>
          <w:tab/>
        </w:r>
        <w:r>
          <w:rPr>
            <w:noProof/>
            <w:webHidden/>
          </w:rPr>
          <w:fldChar w:fldCharType="begin"/>
        </w:r>
        <w:r>
          <w:rPr>
            <w:noProof/>
            <w:webHidden/>
          </w:rPr>
          <w:instrText xml:space="preserve"> PAGEREF _Toc111190877 \h </w:instrText>
        </w:r>
        <w:r>
          <w:rPr>
            <w:noProof/>
            <w:webHidden/>
          </w:rPr>
        </w:r>
        <w:r>
          <w:rPr>
            <w:noProof/>
            <w:webHidden/>
          </w:rPr>
          <w:fldChar w:fldCharType="separate"/>
        </w:r>
        <w:r>
          <w:rPr>
            <w:noProof/>
            <w:webHidden/>
          </w:rPr>
          <w:t>11</w:t>
        </w:r>
        <w:r>
          <w:rPr>
            <w:noProof/>
            <w:webHidden/>
          </w:rPr>
          <w:fldChar w:fldCharType="end"/>
        </w:r>
      </w:hyperlink>
    </w:p>
    <w:p w14:paraId="3A42EF2A" w14:textId="223FD4FC" w:rsidR="009047A7" w:rsidRDefault="009047A7">
      <w:pPr>
        <w:pStyle w:val="TOC1"/>
        <w:rPr>
          <w:rFonts w:eastAsiaTheme="minorEastAsia"/>
          <w:b w:val="0"/>
          <w:noProof/>
          <w:color w:val="auto"/>
          <w:sz w:val="22"/>
          <w:szCs w:val="22"/>
          <w:lang w:eastAsia="en-GB"/>
        </w:rPr>
      </w:pPr>
      <w:hyperlink w:anchor="_Toc111190878" w:history="1">
        <w:r w:rsidRPr="007D1B31">
          <w:rPr>
            <w:rStyle w:val="Hyperlink"/>
            <w:noProof/>
          </w:rPr>
          <w:t>10</w:t>
        </w:r>
        <w:r>
          <w:rPr>
            <w:rFonts w:eastAsiaTheme="minorEastAsia"/>
            <w:b w:val="0"/>
            <w:noProof/>
            <w:color w:val="auto"/>
            <w:sz w:val="22"/>
            <w:szCs w:val="22"/>
            <w:lang w:eastAsia="en-GB"/>
          </w:rPr>
          <w:tab/>
        </w:r>
        <w:r w:rsidRPr="007D1B31">
          <w:rPr>
            <w:rStyle w:val="Hyperlink"/>
            <w:noProof/>
          </w:rPr>
          <w:t>Associated Policies, Guidance and Documents</w:t>
        </w:r>
        <w:r>
          <w:rPr>
            <w:noProof/>
            <w:webHidden/>
          </w:rPr>
          <w:tab/>
        </w:r>
        <w:r>
          <w:rPr>
            <w:noProof/>
            <w:webHidden/>
          </w:rPr>
          <w:fldChar w:fldCharType="begin"/>
        </w:r>
        <w:r>
          <w:rPr>
            <w:noProof/>
            <w:webHidden/>
          </w:rPr>
          <w:instrText xml:space="preserve"> PAGEREF _Toc111190878 \h </w:instrText>
        </w:r>
        <w:r>
          <w:rPr>
            <w:noProof/>
            <w:webHidden/>
          </w:rPr>
        </w:r>
        <w:r>
          <w:rPr>
            <w:noProof/>
            <w:webHidden/>
          </w:rPr>
          <w:fldChar w:fldCharType="separate"/>
        </w:r>
        <w:r>
          <w:rPr>
            <w:noProof/>
            <w:webHidden/>
          </w:rPr>
          <w:t>11</w:t>
        </w:r>
        <w:r>
          <w:rPr>
            <w:noProof/>
            <w:webHidden/>
          </w:rPr>
          <w:fldChar w:fldCharType="end"/>
        </w:r>
      </w:hyperlink>
    </w:p>
    <w:p w14:paraId="34DDF6AD" w14:textId="4FE700F4" w:rsidR="009047A7" w:rsidRDefault="009047A7">
      <w:pPr>
        <w:pStyle w:val="TOC1"/>
        <w:rPr>
          <w:rFonts w:eastAsiaTheme="minorEastAsia"/>
          <w:b w:val="0"/>
          <w:noProof/>
          <w:color w:val="auto"/>
          <w:sz w:val="22"/>
          <w:szCs w:val="22"/>
          <w:lang w:eastAsia="en-GB"/>
        </w:rPr>
      </w:pPr>
      <w:hyperlink w:anchor="_Toc111190879" w:history="1">
        <w:r w:rsidRPr="007D1B31">
          <w:rPr>
            <w:rStyle w:val="Hyperlink"/>
            <w:noProof/>
          </w:rPr>
          <w:t>11</w:t>
        </w:r>
        <w:r>
          <w:rPr>
            <w:rFonts w:eastAsiaTheme="minorEastAsia"/>
            <w:b w:val="0"/>
            <w:noProof/>
            <w:color w:val="auto"/>
            <w:sz w:val="22"/>
            <w:szCs w:val="22"/>
            <w:lang w:eastAsia="en-GB"/>
          </w:rPr>
          <w:tab/>
        </w:r>
        <w:r w:rsidRPr="007D1B31">
          <w:rPr>
            <w:rStyle w:val="Hyperlink"/>
            <w:noProof/>
          </w:rPr>
          <w:t>References</w:t>
        </w:r>
        <w:r>
          <w:rPr>
            <w:noProof/>
            <w:webHidden/>
          </w:rPr>
          <w:tab/>
        </w:r>
        <w:r>
          <w:rPr>
            <w:noProof/>
            <w:webHidden/>
          </w:rPr>
          <w:fldChar w:fldCharType="begin"/>
        </w:r>
        <w:r>
          <w:rPr>
            <w:noProof/>
            <w:webHidden/>
          </w:rPr>
          <w:instrText xml:space="preserve"> PAGEREF _Toc111190879 \h </w:instrText>
        </w:r>
        <w:r>
          <w:rPr>
            <w:noProof/>
            <w:webHidden/>
          </w:rPr>
        </w:r>
        <w:r>
          <w:rPr>
            <w:noProof/>
            <w:webHidden/>
          </w:rPr>
          <w:fldChar w:fldCharType="separate"/>
        </w:r>
        <w:r>
          <w:rPr>
            <w:noProof/>
            <w:webHidden/>
          </w:rPr>
          <w:t>12</w:t>
        </w:r>
        <w:r>
          <w:rPr>
            <w:noProof/>
            <w:webHidden/>
          </w:rPr>
          <w:fldChar w:fldCharType="end"/>
        </w:r>
      </w:hyperlink>
    </w:p>
    <w:p w14:paraId="424D0B36" w14:textId="735FDEAA" w:rsidR="009047A7" w:rsidRDefault="009047A7">
      <w:pPr>
        <w:pStyle w:val="TOC1"/>
        <w:rPr>
          <w:rFonts w:eastAsiaTheme="minorEastAsia"/>
          <w:b w:val="0"/>
          <w:noProof/>
          <w:color w:val="auto"/>
          <w:sz w:val="22"/>
          <w:szCs w:val="22"/>
          <w:lang w:eastAsia="en-GB"/>
        </w:rPr>
      </w:pPr>
      <w:hyperlink w:anchor="_Toc111190880" w:history="1">
        <w:r w:rsidRPr="007D1B31">
          <w:rPr>
            <w:rStyle w:val="Hyperlink"/>
            <w:noProof/>
          </w:rPr>
          <w:t>12</w:t>
        </w:r>
        <w:r>
          <w:rPr>
            <w:rFonts w:eastAsiaTheme="minorEastAsia"/>
            <w:b w:val="0"/>
            <w:noProof/>
            <w:color w:val="auto"/>
            <w:sz w:val="22"/>
            <w:szCs w:val="22"/>
            <w:lang w:eastAsia="en-GB"/>
          </w:rPr>
          <w:tab/>
        </w:r>
        <w:r w:rsidRPr="007D1B31">
          <w:rPr>
            <w:rStyle w:val="Hyperlink"/>
            <w:noProof/>
          </w:rPr>
          <w:t>Equality Impact Assessment</w:t>
        </w:r>
        <w:r>
          <w:rPr>
            <w:noProof/>
            <w:webHidden/>
          </w:rPr>
          <w:tab/>
        </w:r>
        <w:r>
          <w:rPr>
            <w:noProof/>
            <w:webHidden/>
          </w:rPr>
          <w:fldChar w:fldCharType="begin"/>
        </w:r>
        <w:r>
          <w:rPr>
            <w:noProof/>
            <w:webHidden/>
          </w:rPr>
          <w:instrText xml:space="preserve"> PAGEREF _Toc111190880 \h </w:instrText>
        </w:r>
        <w:r>
          <w:rPr>
            <w:noProof/>
            <w:webHidden/>
          </w:rPr>
        </w:r>
        <w:r>
          <w:rPr>
            <w:noProof/>
            <w:webHidden/>
          </w:rPr>
          <w:fldChar w:fldCharType="separate"/>
        </w:r>
        <w:r>
          <w:rPr>
            <w:noProof/>
            <w:webHidden/>
          </w:rPr>
          <w:t>12</w:t>
        </w:r>
        <w:r>
          <w:rPr>
            <w:noProof/>
            <w:webHidden/>
          </w:rPr>
          <w:fldChar w:fldCharType="end"/>
        </w:r>
      </w:hyperlink>
    </w:p>
    <w:p w14:paraId="20B3F195" w14:textId="51F977CD" w:rsidR="009047A7" w:rsidRDefault="009047A7">
      <w:pPr>
        <w:pStyle w:val="TOC1"/>
        <w:rPr>
          <w:rFonts w:eastAsiaTheme="minorEastAsia"/>
          <w:b w:val="0"/>
          <w:noProof/>
          <w:color w:val="auto"/>
          <w:sz w:val="22"/>
          <w:szCs w:val="22"/>
          <w:lang w:eastAsia="en-GB"/>
        </w:rPr>
      </w:pPr>
      <w:hyperlink w:anchor="_Toc111190881" w:history="1">
        <w:r w:rsidRPr="007D1B31">
          <w:rPr>
            <w:rStyle w:val="Hyperlink"/>
            <w:noProof/>
          </w:rPr>
          <w:t>Appendix A - Equality Impact Assessment</w:t>
        </w:r>
        <w:r>
          <w:rPr>
            <w:noProof/>
            <w:webHidden/>
          </w:rPr>
          <w:tab/>
        </w:r>
        <w:r>
          <w:rPr>
            <w:noProof/>
            <w:webHidden/>
          </w:rPr>
          <w:fldChar w:fldCharType="begin"/>
        </w:r>
        <w:r>
          <w:rPr>
            <w:noProof/>
            <w:webHidden/>
          </w:rPr>
          <w:instrText xml:space="preserve"> PAGEREF _Toc111190881 \h </w:instrText>
        </w:r>
        <w:r>
          <w:rPr>
            <w:noProof/>
            <w:webHidden/>
          </w:rPr>
        </w:r>
        <w:r>
          <w:rPr>
            <w:noProof/>
            <w:webHidden/>
          </w:rPr>
          <w:fldChar w:fldCharType="separate"/>
        </w:r>
        <w:r>
          <w:rPr>
            <w:noProof/>
            <w:webHidden/>
          </w:rPr>
          <w:t>13</w:t>
        </w:r>
        <w:r>
          <w:rPr>
            <w:noProof/>
            <w:webHidden/>
          </w:rPr>
          <w:fldChar w:fldCharType="end"/>
        </w:r>
      </w:hyperlink>
    </w:p>
    <w:p w14:paraId="3247A83D" w14:textId="3DAF3EA7" w:rsidR="009047A7" w:rsidRDefault="009047A7">
      <w:pPr>
        <w:pStyle w:val="TOC1"/>
        <w:rPr>
          <w:rFonts w:eastAsiaTheme="minorEastAsia"/>
          <w:b w:val="0"/>
          <w:noProof/>
          <w:color w:val="auto"/>
          <w:sz w:val="22"/>
          <w:szCs w:val="22"/>
          <w:lang w:eastAsia="en-GB"/>
        </w:rPr>
      </w:pPr>
      <w:hyperlink w:anchor="_Toc111190882" w:history="1">
        <w:r w:rsidRPr="007D1B31">
          <w:rPr>
            <w:rStyle w:val="Hyperlink"/>
            <w:noProof/>
          </w:rPr>
          <w:t>Appendix B – Examples of violent and abusive behaviour</w:t>
        </w:r>
        <w:r>
          <w:rPr>
            <w:noProof/>
            <w:webHidden/>
          </w:rPr>
          <w:tab/>
        </w:r>
        <w:r>
          <w:rPr>
            <w:noProof/>
            <w:webHidden/>
          </w:rPr>
          <w:fldChar w:fldCharType="begin"/>
        </w:r>
        <w:r>
          <w:rPr>
            <w:noProof/>
            <w:webHidden/>
          </w:rPr>
          <w:instrText xml:space="preserve"> PAGEREF _Toc111190882 \h </w:instrText>
        </w:r>
        <w:r>
          <w:rPr>
            <w:noProof/>
            <w:webHidden/>
          </w:rPr>
        </w:r>
        <w:r>
          <w:rPr>
            <w:noProof/>
            <w:webHidden/>
          </w:rPr>
          <w:fldChar w:fldCharType="separate"/>
        </w:r>
        <w:r>
          <w:rPr>
            <w:noProof/>
            <w:webHidden/>
          </w:rPr>
          <w:t>15</w:t>
        </w:r>
        <w:r>
          <w:rPr>
            <w:noProof/>
            <w:webHidden/>
          </w:rPr>
          <w:fldChar w:fldCharType="end"/>
        </w:r>
      </w:hyperlink>
    </w:p>
    <w:p w14:paraId="020DEE1A" w14:textId="351CEA22" w:rsidR="009047A7" w:rsidRDefault="009047A7">
      <w:pPr>
        <w:pStyle w:val="TOC1"/>
        <w:rPr>
          <w:rFonts w:eastAsiaTheme="minorEastAsia"/>
          <w:b w:val="0"/>
          <w:noProof/>
          <w:color w:val="auto"/>
          <w:sz w:val="22"/>
          <w:szCs w:val="22"/>
          <w:lang w:eastAsia="en-GB"/>
        </w:rPr>
      </w:pPr>
      <w:hyperlink w:anchor="_Toc111190883" w:history="1">
        <w:r w:rsidRPr="007D1B31">
          <w:rPr>
            <w:rStyle w:val="Hyperlink"/>
            <w:noProof/>
          </w:rPr>
          <w:t>APPENDIX C – First warning letter</w:t>
        </w:r>
        <w:r>
          <w:rPr>
            <w:noProof/>
            <w:webHidden/>
          </w:rPr>
          <w:tab/>
        </w:r>
        <w:r>
          <w:rPr>
            <w:noProof/>
            <w:webHidden/>
          </w:rPr>
          <w:fldChar w:fldCharType="begin"/>
        </w:r>
        <w:r>
          <w:rPr>
            <w:noProof/>
            <w:webHidden/>
          </w:rPr>
          <w:instrText xml:space="preserve"> PAGEREF _Toc111190883 \h </w:instrText>
        </w:r>
        <w:r>
          <w:rPr>
            <w:noProof/>
            <w:webHidden/>
          </w:rPr>
        </w:r>
        <w:r>
          <w:rPr>
            <w:noProof/>
            <w:webHidden/>
          </w:rPr>
          <w:fldChar w:fldCharType="separate"/>
        </w:r>
        <w:r>
          <w:rPr>
            <w:noProof/>
            <w:webHidden/>
          </w:rPr>
          <w:t>16</w:t>
        </w:r>
        <w:r>
          <w:rPr>
            <w:noProof/>
            <w:webHidden/>
          </w:rPr>
          <w:fldChar w:fldCharType="end"/>
        </w:r>
      </w:hyperlink>
    </w:p>
    <w:p w14:paraId="6B7408ED" w14:textId="5526F387" w:rsidR="009047A7" w:rsidRDefault="009047A7">
      <w:pPr>
        <w:pStyle w:val="TOC1"/>
        <w:rPr>
          <w:rFonts w:eastAsiaTheme="minorEastAsia"/>
          <w:b w:val="0"/>
          <w:noProof/>
          <w:color w:val="auto"/>
          <w:sz w:val="22"/>
          <w:szCs w:val="22"/>
          <w:lang w:eastAsia="en-GB"/>
        </w:rPr>
      </w:pPr>
      <w:hyperlink w:anchor="_Toc111190884" w:history="1">
        <w:r w:rsidRPr="007D1B31">
          <w:rPr>
            <w:rStyle w:val="Hyperlink"/>
            <w:noProof/>
          </w:rPr>
          <w:t>APPENDIX D – Final warning letter – withdrawal of services</w:t>
        </w:r>
        <w:r>
          <w:rPr>
            <w:noProof/>
            <w:webHidden/>
          </w:rPr>
          <w:tab/>
        </w:r>
        <w:r>
          <w:rPr>
            <w:noProof/>
            <w:webHidden/>
          </w:rPr>
          <w:fldChar w:fldCharType="begin"/>
        </w:r>
        <w:r>
          <w:rPr>
            <w:noProof/>
            <w:webHidden/>
          </w:rPr>
          <w:instrText xml:space="preserve"> PAGEREF _Toc111190884 \h </w:instrText>
        </w:r>
        <w:r>
          <w:rPr>
            <w:noProof/>
            <w:webHidden/>
          </w:rPr>
        </w:r>
        <w:r>
          <w:rPr>
            <w:noProof/>
            <w:webHidden/>
          </w:rPr>
          <w:fldChar w:fldCharType="separate"/>
        </w:r>
        <w:r>
          <w:rPr>
            <w:noProof/>
            <w:webHidden/>
          </w:rPr>
          <w:t>18</w:t>
        </w:r>
        <w:r>
          <w:rPr>
            <w:noProof/>
            <w:webHidden/>
          </w:rPr>
          <w:fldChar w:fldCharType="end"/>
        </w:r>
      </w:hyperlink>
    </w:p>
    <w:p w14:paraId="5D874FC1" w14:textId="4B0F34FA" w:rsidR="009047A7" w:rsidRDefault="009047A7">
      <w:pPr>
        <w:pStyle w:val="TOC1"/>
        <w:rPr>
          <w:rFonts w:eastAsiaTheme="minorEastAsia"/>
          <w:b w:val="0"/>
          <w:noProof/>
          <w:color w:val="auto"/>
          <w:sz w:val="22"/>
          <w:szCs w:val="22"/>
          <w:lang w:eastAsia="en-GB"/>
        </w:rPr>
      </w:pPr>
      <w:hyperlink w:anchor="_Toc111190885" w:history="1">
        <w:r w:rsidRPr="007D1B31">
          <w:rPr>
            <w:rStyle w:val="Hyperlink"/>
            <w:noProof/>
          </w:rPr>
          <w:t>APPENDIX E – Frequently asked questions</w:t>
        </w:r>
        <w:r>
          <w:rPr>
            <w:noProof/>
            <w:webHidden/>
          </w:rPr>
          <w:tab/>
        </w:r>
        <w:r>
          <w:rPr>
            <w:noProof/>
            <w:webHidden/>
          </w:rPr>
          <w:fldChar w:fldCharType="begin"/>
        </w:r>
        <w:r>
          <w:rPr>
            <w:noProof/>
            <w:webHidden/>
          </w:rPr>
          <w:instrText xml:space="preserve"> PAGEREF _Toc111190885 \h </w:instrText>
        </w:r>
        <w:r>
          <w:rPr>
            <w:noProof/>
            <w:webHidden/>
          </w:rPr>
        </w:r>
        <w:r>
          <w:rPr>
            <w:noProof/>
            <w:webHidden/>
          </w:rPr>
          <w:fldChar w:fldCharType="separate"/>
        </w:r>
        <w:r>
          <w:rPr>
            <w:noProof/>
            <w:webHidden/>
          </w:rPr>
          <w:t>19</w:t>
        </w:r>
        <w:r>
          <w:rPr>
            <w:noProof/>
            <w:webHidden/>
          </w:rPr>
          <w:fldChar w:fldCharType="end"/>
        </w:r>
      </w:hyperlink>
    </w:p>
    <w:p w14:paraId="46C21662" w14:textId="2B0B7FFF" w:rsidR="005D2D2B" w:rsidRDefault="000665B0">
      <w:pPr>
        <w:spacing w:before="0" w:after="0"/>
        <w:ind w:left="0"/>
        <w:rPr>
          <w:rFonts w:ascii="AppleSystemUIFont" w:hAnsi="AppleSystemUIFont" w:cs="AppleSystemUIFont"/>
          <w:b/>
          <w:sz w:val="26"/>
          <w:szCs w:val="26"/>
        </w:rPr>
      </w:pPr>
      <w:r>
        <w:rPr>
          <w:rFonts w:ascii="AppleSystemUIFont" w:hAnsi="AppleSystemUIFont" w:cs="AppleSystemUIFont"/>
          <w:b/>
          <w:sz w:val="26"/>
          <w:szCs w:val="26"/>
        </w:rPr>
        <w:fldChar w:fldCharType="end"/>
      </w:r>
    </w:p>
    <w:p w14:paraId="4B49E06A" w14:textId="77777777" w:rsidR="009A3207" w:rsidRPr="009A3207" w:rsidRDefault="009A3207" w:rsidP="009A3207">
      <w:pPr>
        <w:rPr>
          <w:rFonts w:ascii="AppleSystemUIFont" w:hAnsi="AppleSystemUIFont" w:cs="AppleSystemUIFont"/>
          <w:sz w:val="26"/>
          <w:szCs w:val="26"/>
        </w:rPr>
      </w:pPr>
    </w:p>
    <w:p w14:paraId="00D6085E" w14:textId="77777777" w:rsidR="009A3207" w:rsidRPr="009A3207" w:rsidRDefault="009A3207" w:rsidP="009A3207">
      <w:pPr>
        <w:rPr>
          <w:rFonts w:ascii="AppleSystemUIFont" w:hAnsi="AppleSystemUIFont" w:cs="AppleSystemUIFont"/>
          <w:sz w:val="26"/>
          <w:szCs w:val="26"/>
        </w:rPr>
      </w:pPr>
    </w:p>
    <w:p w14:paraId="13818397" w14:textId="77777777" w:rsidR="009A3207" w:rsidRPr="009A3207" w:rsidRDefault="009A3207" w:rsidP="009A3207">
      <w:pPr>
        <w:rPr>
          <w:rFonts w:ascii="AppleSystemUIFont" w:hAnsi="AppleSystemUIFont" w:cs="AppleSystemUIFont"/>
          <w:sz w:val="26"/>
          <w:szCs w:val="26"/>
        </w:rPr>
      </w:pPr>
    </w:p>
    <w:p w14:paraId="64A95120" w14:textId="77777777" w:rsidR="009A3207" w:rsidRPr="009A3207" w:rsidRDefault="009A3207" w:rsidP="009A3207">
      <w:pPr>
        <w:rPr>
          <w:rFonts w:ascii="AppleSystemUIFont" w:hAnsi="AppleSystemUIFont" w:cs="AppleSystemUIFont"/>
          <w:sz w:val="26"/>
          <w:szCs w:val="26"/>
        </w:rPr>
      </w:pPr>
    </w:p>
    <w:p w14:paraId="0B2469FB" w14:textId="77777777" w:rsidR="009A3207" w:rsidRPr="009A3207" w:rsidRDefault="009A3207" w:rsidP="009A3207">
      <w:pPr>
        <w:rPr>
          <w:rFonts w:ascii="AppleSystemUIFont" w:hAnsi="AppleSystemUIFont" w:cs="AppleSystemUIFont"/>
          <w:sz w:val="26"/>
          <w:szCs w:val="26"/>
        </w:rPr>
      </w:pPr>
    </w:p>
    <w:p w14:paraId="6A6BDCF4" w14:textId="77777777" w:rsidR="009A3207" w:rsidRDefault="009A3207" w:rsidP="009A3207">
      <w:pPr>
        <w:rPr>
          <w:rFonts w:ascii="AppleSystemUIFont" w:hAnsi="AppleSystemUIFont" w:cs="AppleSystemUIFont"/>
          <w:b/>
          <w:sz w:val="26"/>
          <w:szCs w:val="26"/>
        </w:rPr>
      </w:pPr>
    </w:p>
    <w:p w14:paraId="561DFA69" w14:textId="228A367E" w:rsidR="009A3207" w:rsidRDefault="009A3207" w:rsidP="009A3207">
      <w:pPr>
        <w:tabs>
          <w:tab w:val="left" w:pos="2492"/>
        </w:tabs>
        <w:rPr>
          <w:rFonts w:ascii="AppleSystemUIFont" w:hAnsi="AppleSystemUIFont" w:cs="AppleSystemUIFont"/>
          <w:b/>
          <w:sz w:val="26"/>
          <w:szCs w:val="26"/>
        </w:rPr>
      </w:pPr>
      <w:r>
        <w:rPr>
          <w:rFonts w:ascii="AppleSystemUIFont" w:hAnsi="AppleSystemUIFont" w:cs="AppleSystemUIFont"/>
          <w:b/>
          <w:sz w:val="26"/>
          <w:szCs w:val="26"/>
        </w:rPr>
        <w:tab/>
      </w:r>
    </w:p>
    <w:p w14:paraId="0D968D3A" w14:textId="6B2C6E23" w:rsidR="009A3207" w:rsidRPr="009A3207" w:rsidRDefault="009A3207" w:rsidP="009A3207">
      <w:pPr>
        <w:tabs>
          <w:tab w:val="left" w:pos="2492"/>
        </w:tabs>
        <w:rPr>
          <w:rFonts w:ascii="AppleSystemUIFont" w:hAnsi="AppleSystemUIFont" w:cs="AppleSystemUIFont"/>
          <w:sz w:val="26"/>
          <w:szCs w:val="26"/>
        </w:rPr>
        <w:sectPr w:rsidR="009A3207" w:rsidRPr="009A3207" w:rsidSect="00417CB8">
          <w:headerReference w:type="default" r:id="rId8"/>
          <w:headerReference w:type="first" r:id="rId9"/>
          <w:pgSz w:w="11906" w:h="16838"/>
          <w:pgMar w:top="1701" w:right="1440" w:bottom="1797" w:left="1440" w:header="576" w:footer="709" w:gutter="0"/>
          <w:cols w:space="708"/>
          <w:titlePg/>
          <w:docGrid w:linePitch="360"/>
        </w:sectPr>
      </w:pPr>
      <w:r>
        <w:rPr>
          <w:rFonts w:ascii="AppleSystemUIFont" w:hAnsi="AppleSystemUIFont" w:cs="AppleSystemUIFont"/>
          <w:sz w:val="26"/>
          <w:szCs w:val="26"/>
        </w:rPr>
        <w:tab/>
      </w:r>
    </w:p>
    <w:p w14:paraId="43E92C70" w14:textId="6AAEE2F1" w:rsidR="0013779C" w:rsidRPr="0013779C" w:rsidRDefault="00F913CD" w:rsidP="00447E47">
      <w:pPr>
        <w:pStyle w:val="Heading2"/>
      </w:pPr>
      <w:bookmarkStart w:id="3" w:name="_Toc84611043"/>
      <w:bookmarkStart w:id="4" w:name="_Toc89326544"/>
      <w:bookmarkStart w:id="5" w:name="_Toc96253996"/>
      <w:bookmarkStart w:id="6" w:name="_Toc111190855"/>
      <w:r w:rsidRPr="0015255F">
        <w:t>Introduction</w:t>
      </w:r>
      <w:bookmarkStart w:id="7" w:name="_Toc89326545"/>
      <w:bookmarkStart w:id="8" w:name="_Toc96253997"/>
      <w:bookmarkEnd w:id="3"/>
      <w:bookmarkEnd w:id="4"/>
      <w:bookmarkEnd w:id="5"/>
      <w:bookmarkEnd w:id="6"/>
    </w:p>
    <w:p w14:paraId="11D25A34" w14:textId="00F78E96" w:rsidR="00447E47" w:rsidRPr="00B40E4E" w:rsidRDefault="00447E47" w:rsidP="00B40E4E">
      <w:pPr>
        <w:pStyle w:val="Style1"/>
      </w:pPr>
      <w:bookmarkStart w:id="9" w:name="_Toc102376007"/>
      <w:r w:rsidRPr="00B40E4E">
        <w:t>The Mid and South Essex Integrated Care Board (</w:t>
      </w:r>
      <w:r w:rsidR="00514738">
        <w:t>the</w:t>
      </w:r>
      <w:r w:rsidR="00514738" w:rsidRPr="00B40E4E">
        <w:t xml:space="preserve"> </w:t>
      </w:r>
      <w:r w:rsidRPr="00B40E4E">
        <w:t>ICB) recognises its duty to comply with the Health and Safety at Work Act 1974 and associated regulations and</w:t>
      </w:r>
      <w:r w:rsidR="00514738">
        <w:t xml:space="preserve"> </w:t>
      </w:r>
      <w:r w:rsidRPr="00B40E4E">
        <w:t>in particular, the duty to provide a safe workplace for staff. We are committed to ensuring the health, safety, and welfare of all staff and this includes having arrangements in place to prevent staff from being subject to violence and aggression</w:t>
      </w:r>
      <w:bookmarkEnd w:id="9"/>
      <w:r w:rsidRPr="00B40E4E">
        <w:t>.</w:t>
      </w:r>
    </w:p>
    <w:p w14:paraId="635A8B7E" w14:textId="2F3B5255" w:rsidR="0013779C" w:rsidRPr="00B40E4E" w:rsidRDefault="0013779C" w:rsidP="00B40E4E">
      <w:pPr>
        <w:pStyle w:val="Style1"/>
      </w:pPr>
      <w:r w:rsidRPr="00B40E4E">
        <w:t>There is much focus on violence prevention and reduction in the NHS which aims to create a culture where all NHS staff feel supported, safe, and secure at work through the prevention of and response to incidents where staff feel threatened, vulnerable, unsafe or are assaulted at work.</w:t>
      </w:r>
    </w:p>
    <w:p w14:paraId="23A65391" w14:textId="77777777" w:rsidR="0013779C" w:rsidRPr="00B40E4E" w:rsidRDefault="0013779C" w:rsidP="00B40E4E">
      <w:pPr>
        <w:pStyle w:val="Style1"/>
      </w:pPr>
      <w:r w:rsidRPr="00B40E4E">
        <w:t>Under the Health and Safety at Work Act 1974 (and subsequent guidance) all employers have a statutory obligation to ensure, as far as practically possible, a safe and secure environment for staff.</w:t>
      </w:r>
    </w:p>
    <w:p w14:paraId="3EE09FA4" w14:textId="3425CFBC" w:rsidR="0013779C" w:rsidRPr="0012207E" w:rsidRDefault="0013779C" w:rsidP="00B40E4E">
      <w:pPr>
        <w:pStyle w:val="Style1"/>
      </w:pPr>
      <w:r w:rsidRPr="00B40E4E">
        <w:t>In October 2018, The Secretary of State for Health launched the Violence Reduction Strategy and the Government committed to tackling violence and abuse against NHS staff. Alongside this, the NHS Long Term Plan emphasised that violence against NHS staff would not be tolerated.  In</w:t>
      </w:r>
      <w:r w:rsidR="00514738">
        <w:t> </w:t>
      </w:r>
      <w:r w:rsidRPr="00B40E4E">
        <w:t>January 2021, NHS England and NHS Improvement published the new national Violence Prevention and Reduction Standard which compl</w:t>
      </w:r>
      <w:r w:rsidR="005C7787" w:rsidRPr="00B40E4E">
        <w:t>e</w:t>
      </w:r>
      <w:r w:rsidRPr="00B40E4E">
        <w:t>ments existing Health and Safety legislation</w:t>
      </w:r>
      <w:r w:rsidRPr="0012207E">
        <w:t>.</w:t>
      </w:r>
    </w:p>
    <w:p w14:paraId="6EA46454" w14:textId="4E26DB1B" w:rsidR="00F913CD" w:rsidRPr="0013779C" w:rsidRDefault="00F913CD" w:rsidP="0013779C">
      <w:pPr>
        <w:pStyle w:val="Heading2"/>
      </w:pPr>
      <w:bookmarkStart w:id="10" w:name="_Toc111190856"/>
      <w:r w:rsidRPr="0013779C">
        <w:t>Purpose</w:t>
      </w:r>
      <w:bookmarkEnd w:id="7"/>
      <w:bookmarkEnd w:id="8"/>
      <w:bookmarkEnd w:id="10"/>
    </w:p>
    <w:p w14:paraId="1302E232" w14:textId="06665E12" w:rsidR="0013779C" w:rsidRPr="00B40E4E" w:rsidRDefault="0013779C" w:rsidP="00B40E4E">
      <w:pPr>
        <w:pStyle w:val="Style1"/>
      </w:pPr>
      <w:bookmarkStart w:id="11" w:name="_Toc96947515"/>
      <w:bookmarkStart w:id="12" w:name="_Toc96253998"/>
      <w:r w:rsidRPr="00B40E4E">
        <w:t>The aim of this policy is to set out the arrangements for the identification, assessment and management of violence and aggression risks to staff and others to provide and maintain a safe and secure working environment.</w:t>
      </w:r>
      <w:bookmarkEnd w:id="11"/>
    </w:p>
    <w:p w14:paraId="70AC5EAB" w14:textId="77777777" w:rsidR="0013779C" w:rsidRPr="00B40E4E" w:rsidRDefault="0013779C" w:rsidP="00B40E4E">
      <w:pPr>
        <w:pStyle w:val="Style1"/>
      </w:pPr>
      <w:r w:rsidRPr="00B40E4E">
        <w:t>The ICB will proactively explore all options to deter and prevent all forms of violence and aggression to:</w:t>
      </w:r>
    </w:p>
    <w:p w14:paraId="1FB8C367" w14:textId="77777777" w:rsidR="0013779C" w:rsidRPr="0012207E" w:rsidRDefault="0013779C" w:rsidP="00B40E4E">
      <w:pPr>
        <w:pStyle w:val="ListParagraph"/>
        <w:numPr>
          <w:ilvl w:val="0"/>
          <w:numId w:val="11"/>
        </w:numPr>
        <w:spacing w:before="0"/>
        <w:ind w:left="1701" w:hanging="283"/>
        <w:rPr>
          <w:rFonts w:eastAsiaTheme="majorEastAsia"/>
        </w:rPr>
      </w:pPr>
      <w:r w:rsidRPr="0012207E">
        <w:rPr>
          <w:rFonts w:eastAsiaTheme="majorEastAsia"/>
        </w:rPr>
        <w:t xml:space="preserve">Prevent and protect staff from violence at work. </w:t>
      </w:r>
    </w:p>
    <w:p w14:paraId="0E2D14DF" w14:textId="77777777" w:rsidR="0013779C" w:rsidRPr="0012207E" w:rsidRDefault="0013779C" w:rsidP="00B40E4E">
      <w:pPr>
        <w:pStyle w:val="ListParagraph"/>
        <w:numPr>
          <w:ilvl w:val="0"/>
          <w:numId w:val="11"/>
        </w:numPr>
        <w:spacing w:before="0"/>
        <w:ind w:left="1701" w:hanging="283"/>
        <w:rPr>
          <w:rFonts w:eastAsiaTheme="majorEastAsia"/>
        </w:rPr>
      </w:pPr>
      <w:r w:rsidRPr="0012207E">
        <w:rPr>
          <w:rFonts w:eastAsiaTheme="majorEastAsia"/>
        </w:rPr>
        <w:t xml:space="preserve">Provide a safe and secure working environment for all employees </w:t>
      </w:r>
    </w:p>
    <w:p w14:paraId="7286694E" w14:textId="77777777" w:rsidR="0013779C" w:rsidRPr="0012207E" w:rsidRDefault="0013779C" w:rsidP="00B40E4E">
      <w:pPr>
        <w:pStyle w:val="ListParagraph"/>
        <w:numPr>
          <w:ilvl w:val="0"/>
          <w:numId w:val="11"/>
        </w:numPr>
        <w:spacing w:before="0"/>
        <w:ind w:left="1701" w:hanging="283"/>
        <w:rPr>
          <w:rFonts w:eastAsiaTheme="majorEastAsia"/>
        </w:rPr>
      </w:pPr>
      <w:r w:rsidRPr="0012207E">
        <w:rPr>
          <w:rFonts w:eastAsiaTheme="majorEastAsia"/>
        </w:rPr>
        <w:t xml:space="preserve">Ensure that employees are confident that they will receive the necessary support, guidance, and training to enable them to manage conflict that can lead to violence and aggression within the workplace. </w:t>
      </w:r>
    </w:p>
    <w:p w14:paraId="2982BB51" w14:textId="3770A162" w:rsidR="0013779C" w:rsidRPr="00B967E2" w:rsidRDefault="0013779C" w:rsidP="009A3207">
      <w:pPr>
        <w:pStyle w:val="ListParagraph"/>
        <w:numPr>
          <w:ilvl w:val="0"/>
          <w:numId w:val="11"/>
        </w:numPr>
        <w:spacing w:before="0"/>
        <w:ind w:left="1702" w:hanging="284"/>
        <w:contextualSpacing w:val="0"/>
        <w:rPr>
          <w:rFonts w:eastAsiaTheme="majorEastAsia"/>
        </w:rPr>
      </w:pPr>
      <w:r w:rsidRPr="0012207E">
        <w:rPr>
          <w:rFonts w:eastAsiaTheme="majorEastAsia"/>
        </w:rPr>
        <w:t>Provide the necessary support to those employees who have been involved in a violent</w:t>
      </w:r>
      <w:r w:rsidR="00B967E2">
        <w:rPr>
          <w:rFonts w:eastAsiaTheme="majorEastAsia"/>
        </w:rPr>
        <w:t xml:space="preserve">, </w:t>
      </w:r>
      <w:r w:rsidRPr="00B967E2">
        <w:rPr>
          <w:rFonts w:eastAsiaTheme="majorEastAsia"/>
        </w:rPr>
        <w:t xml:space="preserve">aggressive </w:t>
      </w:r>
      <w:r w:rsidR="00B967E2">
        <w:rPr>
          <w:rFonts w:eastAsiaTheme="majorEastAsia"/>
        </w:rPr>
        <w:t xml:space="preserve">or abusive </w:t>
      </w:r>
      <w:r w:rsidRPr="00B967E2">
        <w:rPr>
          <w:rFonts w:eastAsiaTheme="majorEastAsia"/>
        </w:rPr>
        <w:t>incident.</w:t>
      </w:r>
    </w:p>
    <w:p w14:paraId="1758CE25" w14:textId="77777777" w:rsidR="0013779C" w:rsidRPr="0012207E" w:rsidRDefault="0013779C" w:rsidP="00514738">
      <w:pPr>
        <w:pStyle w:val="ListParagraph"/>
        <w:numPr>
          <w:ilvl w:val="0"/>
          <w:numId w:val="0"/>
        </w:numPr>
        <w:tabs>
          <w:tab w:val="left" w:pos="993"/>
        </w:tabs>
        <w:spacing w:before="120"/>
        <w:ind w:left="360"/>
        <w:contextualSpacing w:val="0"/>
        <w:outlineLvl w:val="1"/>
        <w:rPr>
          <w:bCs/>
          <w:vanish/>
        </w:rPr>
      </w:pPr>
    </w:p>
    <w:p w14:paraId="44E9325D" w14:textId="77777777" w:rsidR="0013779C" w:rsidRPr="0012207E" w:rsidRDefault="0013779C" w:rsidP="00514738">
      <w:pPr>
        <w:pStyle w:val="ListParagraph"/>
        <w:numPr>
          <w:ilvl w:val="0"/>
          <w:numId w:val="0"/>
        </w:numPr>
        <w:tabs>
          <w:tab w:val="left" w:pos="993"/>
        </w:tabs>
        <w:spacing w:before="120"/>
        <w:ind w:left="792"/>
        <w:contextualSpacing w:val="0"/>
        <w:outlineLvl w:val="1"/>
        <w:rPr>
          <w:bCs/>
          <w:vanish/>
        </w:rPr>
      </w:pPr>
    </w:p>
    <w:p w14:paraId="413DFA38" w14:textId="77777777" w:rsidR="0013779C" w:rsidRPr="00514738" w:rsidRDefault="0013779C" w:rsidP="00514738">
      <w:pPr>
        <w:tabs>
          <w:tab w:val="left" w:pos="993"/>
        </w:tabs>
        <w:spacing w:before="120"/>
        <w:ind w:left="360"/>
        <w:outlineLvl w:val="1"/>
        <w:rPr>
          <w:bCs/>
          <w:vanish/>
        </w:rPr>
      </w:pPr>
    </w:p>
    <w:p w14:paraId="01B5076C" w14:textId="77083A99" w:rsidR="0013779C" w:rsidRPr="00D35DE9" w:rsidRDefault="0013779C" w:rsidP="00B40E4E">
      <w:pPr>
        <w:pStyle w:val="Style1"/>
      </w:pPr>
      <w:r w:rsidRPr="00B40E4E">
        <w:t>The ICB adopts a zero-tolerance approach to violence and aggression by staff or to staff</w:t>
      </w:r>
      <w:r w:rsidR="00514738">
        <w:t>,</w:t>
      </w:r>
      <w:r w:rsidRPr="00B40E4E">
        <w:t xml:space="preserve"> including staff to staff, staff to patient/visitor/guest patient to staff and visitor to staff.  Violent and abusive behaviour and any other criminal acts will not be tolerated whether face to face, via telephone or via </w:t>
      </w:r>
      <w:r w:rsidRPr="00D35DE9">
        <w:t>email or any other media and, all instances will be investigated, and sanctions applied appropriately.</w:t>
      </w:r>
    </w:p>
    <w:p w14:paraId="41814B99" w14:textId="60D543A0" w:rsidR="00800305" w:rsidRDefault="00800305" w:rsidP="0013779C">
      <w:pPr>
        <w:pStyle w:val="Heading2"/>
      </w:pPr>
      <w:bookmarkStart w:id="13" w:name="_Toc111190857"/>
      <w:r>
        <w:t>Scope</w:t>
      </w:r>
      <w:bookmarkEnd w:id="12"/>
      <w:bookmarkEnd w:id="13"/>
      <w:r w:rsidR="006021C1">
        <w:t xml:space="preserve"> </w:t>
      </w:r>
    </w:p>
    <w:p w14:paraId="0F1B9814" w14:textId="1CD03250" w:rsidR="0013779C" w:rsidRPr="00B37023" w:rsidRDefault="0013779C" w:rsidP="005C7787">
      <w:pPr>
        <w:pStyle w:val="Style1"/>
      </w:pPr>
      <w:r w:rsidRPr="0013779C">
        <w:rPr>
          <w:rFonts w:cs="Arial"/>
        </w:rPr>
        <w:t>This policy applies to all staff</w:t>
      </w:r>
      <w:r w:rsidRPr="0013779C">
        <w:rPr>
          <w:rFonts w:eastAsia="Times New Roman"/>
        </w:rPr>
        <w:t xml:space="preserve"> including temporary, bank/agency and interns,</w:t>
      </w:r>
      <w:r w:rsidRPr="0013779C">
        <w:rPr>
          <w:rFonts w:cs="Arial"/>
        </w:rPr>
        <w:t xml:space="preserve"> Board members, </w:t>
      </w:r>
      <w:r w:rsidRPr="0013779C">
        <w:rPr>
          <w:rFonts w:eastAsia="Times New Roman"/>
        </w:rPr>
        <w:t xml:space="preserve">Non-Executive Board Members, volunteers and contractors engaged by the ICB and staff from other MSE ICS Partnership </w:t>
      </w:r>
      <w:r w:rsidRPr="00B37023">
        <w:rPr>
          <w:rFonts w:eastAsia="Times New Roman"/>
        </w:rPr>
        <w:t>organisations working on behalf of the ICB.</w:t>
      </w:r>
      <w:bookmarkStart w:id="14" w:name="_Toc89326546"/>
      <w:bookmarkStart w:id="15" w:name="_Toc96253999"/>
    </w:p>
    <w:p w14:paraId="5992993E" w14:textId="3C36A86E" w:rsidR="005C7787" w:rsidRPr="009047A7" w:rsidRDefault="005C7787" w:rsidP="005C7787">
      <w:pPr>
        <w:pStyle w:val="Style1"/>
      </w:pPr>
      <w:r w:rsidRPr="009047A7">
        <w:t xml:space="preserve">If a member of staff feels that they are experiencing any violence, aggression or abuse by another member of staff, they should refer to the ICB’s </w:t>
      </w:r>
      <w:hyperlink r:id="rId10" w:history="1">
        <w:r w:rsidRPr="009047A7">
          <w:rPr>
            <w:rStyle w:val="Hyperlink"/>
          </w:rPr>
          <w:t>Dignity at Work Policy</w:t>
        </w:r>
      </w:hyperlink>
      <w:r w:rsidR="009047A7">
        <w:rPr>
          <w:lang w:val="en-US" w:eastAsia="en-GB"/>
        </w:rPr>
        <w:t>.</w:t>
      </w:r>
    </w:p>
    <w:p w14:paraId="33D9D5BD" w14:textId="2FEA329E" w:rsidR="00F913CD" w:rsidRDefault="00F913CD" w:rsidP="0013779C">
      <w:pPr>
        <w:pStyle w:val="Heading2"/>
      </w:pPr>
      <w:bookmarkStart w:id="16" w:name="_Toc111190858"/>
      <w:r w:rsidRPr="0015255F">
        <w:t>Definitions</w:t>
      </w:r>
      <w:bookmarkEnd w:id="14"/>
      <w:bookmarkEnd w:id="15"/>
      <w:bookmarkEnd w:id="16"/>
    </w:p>
    <w:p w14:paraId="5E227BE5" w14:textId="3064AF28" w:rsidR="005C7787" w:rsidRPr="005C7787" w:rsidRDefault="0013779C" w:rsidP="00B40E4E">
      <w:pPr>
        <w:pStyle w:val="ListParagraph"/>
        <w:numPr>
          <w:ilvl w:val="0"/>
          <w:numId w:val="22"/>
        </w:numPr>
        <w:ind w:left="1848" w:hanging="357"/>
        <w:contextualSpacing w:val="0"/>
        <w:rPr>
          <w:rFonts w:eastAsiaTheme="majorEastAsia" w:cstheme="majorBidi"/>
          <w:bCs/>
        </w:rPr>
      </w:pPr>
      <w:r w:rsidRPr="005C7787">
        <w:rPr>
          <w:b/>
          <w:bCs/>
        </w:rPr>
        <w:t xml:space="preserve">Violence - </w:t>
      </w:r>
      <w:r w:rsidR="005C7787">
        <w:t>t</w:t>
      </w:r>
      <w:r w:rsidRPr="00094CD4">
        <w:t xml:space="preserve">he Health and Safety Executive (HSE) defines work-related violence as </w:t>
      </w:r>
      <w:r w:rsidR="002C3165">
        <w:t>“</w:t>
      </w:r>
      <w:r w:rsidRPr="005C7787">
        <w:rPr>
          <w:i/>
          <w:iCs/>
        </w:rPr>
        <w:t>Any incident in which a person is abused, threatened or assaulted in circumstances relating to their work</w:t>
      </w:r>
      <w:r w:rsidR="003D7794">
        <w:rPr>
          <w:i/>
          <w:iCs/>
        </w:rPr>
        <w:t xml:space="preserve"> </w:t>
      </w:r>
      <w:r w:rsidR="003D7794" w:rsidRPr="00A0775F">
        <w:rPr>
          <w:rFonts w:eastAsia="Calibri" w:cs="Arial"/>
          <w:i/>
          <w:iCs/>
        </w:rPr>
        <w:t>involving an explicit or implicit challenge to their safety, well-being or health</w:t>
      </w:r>
      <w:r w:rsidRPr="00094CD4">
        <w:t>.</w:t>
      </w:r>
      <w:r w:rsidR="002C3165">
        <w:t>”</w:t>
      </w:r>
      <w:r w:rsidR="005C7787" w:rsidRPr="005C7787">
        <w:rPr>
          <w:rFonts w:eastAsiaTheme="majorEastAsia" w:cstheme="majorBidi"/>
          <w:bCs/>
        </w:rPr>
        <w:t xml:space="preserve"> </w:t>
      </w:r>
    </w:p>
    <w:p w14:paraId="1211F46F" w14:textId="79D2918D" w:rsidR="005C7787" w:rsidRPr="005C7787" w:rsidRDefault="005C7787" w:rsidP="005C7787">
      <w:pPr>
        <w:pStyle w:val="ListParagraph"/>
        <w:numPr>
          <w:ilvl w:val="0"/>
          <w:numId w:val="0"/>
        </w:numPr>
        <w:spacing w:before="0"/>
        <w:ind w:left="1854"/>
        <w:contextualSpacing w:val="0"/>
        <w:rPr>
          <w:rFonts w:eastAsiaTheme="majorEastAsia" w:cstheme="majorBidi"/>
          <w:bCs/>
        </w:rPr>
      </w:pPr>
      <w:r w:rsidRPr="005C7787">
        <w:rPr>
          <w:rFonts w:eastAsiaTheme="majorEastAsia" w:cstheme="majorBidi"/>
          <w:bCs/>
        </w:rPr>
        <w:t>This is a very broad definition of ‘violence’ however it is important to acknowledge that violence can be either physical or non-physical and the two must be distinguished and recorded as different from one another.</w:t>
      </w:r>
    </w:p>
    <w:p w14:paraId="26F91D4A" w14:textId="08EF6E89" w:rsidR="0013779C" w:rsidRDefault="005C7787" w:rsidP="005C7787">
      <w:pPr>
        <w:pStyle w:val="ListParagraph"/>
        <w:numPr>
          <w:ilvl w:val="0"/>
          <w:numId w:val="0"/>
        </w:numPr>
        <w:spacing w:before="0"/>
        <w:ind w:left="1854"/>
        <w:contextualSpacing w:val="0"/>
        <w:rPr>
          <w:rFonts w:eastAsiaTheme="majorEastAsia" w:cstheme="majorBidi"/>
          <w:bCs/>
        </w:rPr>
      </w:pPr>
      <w:r w:rsidRPr="005C7787">
        <w:rPr>
          <w:rFonts w:eastAsiaTheme="majorEastAsia" w:cstheme="majorBidi"/>
          <w:bCs/>
        </w:rPr>
        <w:t>Violence includes behaviour or language (written, oral, or in tone or otherwise) that may cause staff</w:t>
      </w:r>
      <w:r w:rsidR="00AF371C" w:rsidRPr="00AF371C">
        <w:t xml:space="preserve"> </w:t>
      </w:r>
      <w:r w:rsidR="00AF371C" w:rsidRPr="00AF371C">
        <w:rPr>
          <w:rFonts w:eastAsiaTheme="majorEastAsia" w:cstheme="majorBidi"/>
          <w:bCs/>
        </w:rPr>
        <w:t>to feel afraid, threatened or abused.</w:t>
      </w:r>
      <w:r w:rsidR="00AF371C">
        <w:rPr>
          <w:rFonts w:eastAsiaTheme="majorEastAsia" w:cstheme="majorBidi"/>
          <w:bCs/>
        </w:rPr>
        <w:t xml:space="preserve"> </w:t>
      </w:r>
    </w:p>
    <w:p w14:paraId="647042DA" w14:textId="4A866337" w:rsidR="00741721" w:rsidRPr="00741721" w:rsidRDefault="00741721" w:rsidP="00B40E4E">
      <w:pPr>
        <w:pStyle w:val="ListParagraph"/>
        <w:numPr>
          <w:ilvl w:val="0"/>
          <w:numId w:val="22"/>
        </w:numPr>
        <w:spacing w:before="0"/>
        <w:contextualSpacing w:val="0"/>
        <w:rPr>
          <w:rFonts w:eastAsiaTheme="majorEastAsia" w:cstheme="majorBidi"/>
          <w:bCs/>
        </w:rPr>
      </w:pPr>
      <w:r w:rsidRPr="00741721">
        <w:rPr>
          <w:rFonts w:eastAsiaTheme="majorEastAsia" w:cstheme="majorBidi"/>
          <w:b/>
        </w:rPr>
        <w:t xml:space="preserve">Aggression - </w:t>
      </w:r>
      <w:r w:rsidRPr="00741721">
        <w:rPr>
          <w:rFonts w:eastAsiaTheme="majorEastAsia" w:cstheme="majorBidi"/>
          <w:bCs/>
        </w:rPr>
        <w:t>spoken or physical behaviour that is threatening or involves harm to someone or something</w:t>
      </w:r>
      <w:r>
        <w:rPr>
          <w:rFonts w:eastAsiaTheme="majorEastAsia" w:cstheme="majorBidi"/>
          <w:bCs/>
        </w:rPr>
        <w:t>.</w:t>
      </w:r>
    </w:p>
    <w:p w14:paraId="69133220" w14:textId="2666D34D" w:rsidR="00741721" w:rsidRDefault="00741721" w:rsidP="00741721">
      <w:pPr>
        <w:pStyle w:val="ListParagraph"/>
        <w:spacing w:before="0"/>
        <w:ind w:left="1854"/>
        <w:rPr>
          <w:rFonts w:eastAsiaTheme="majorEastAsia" w:cstheme="majorBidi"/>
          <w:bCs/>
        </w:rPr>
      </w:pPr>
      <w:r w:rsidRPr="00741721">
        <w:rPr>
          <w:rFonts w:eastAsiaTheme="majorEastAsia" w:cstheme="majorBidi"/>
          <w:b/>
        </w:rPr>
        <w:t xml:space="preserve">Vexatious behaviour - </w:t>
      </w:r>
      <w:r w:rsidRPr="00741721">
        <w:rPr>
          <w:rFonts w:eastAsiaTheme="majorEastAsia" w:cstheme="majorBidi"/>
          <w:bCs/>
        </w:rPr>
        <w:t xml:space="preserve">a behaviour </w:t>
      </w:r>
      <w:r>
        <w:rPr>
          <w:rFonts w:eastAsiaTheme="majorEastAsia" w:cstheme="majorBidi"/>
          <w:bCs/>
        </w:rPr>
        <w:t>that</w:t>
      </w:r>
      <w:r w:rsidRPr="00741721">
        <w:rPr>
          <w:rFonts w:eastAsiaTheme="majorEastAsia" w:cstheme="majorBidi"/>
          <w:bCs/>
        </w:rPr>
        <w:t xml:space="preserve"> is disruptive, excessively persistent, harassing and/or annoying to the organisation or a staff member, over any given </w:t>
      </w:r>
      <w:r w:rsidR="004637D3" w:rsidRPr="00741721">
        <w:rPr>
          <w:rFonts w:eastAsiaTheme="majorEastAsia" w:cstheme="majorBidi"/>
          <w:bCs/>
        </w:rPr>
        <w:t>period</w:t>
      </w:r>
      <w:r w:rsidRPr="00741721">
        <w:rPr>
          <w:rFonts w:eastAsiaTheme="majorEastAsia" w:cstheme="majorBidi"/>
          <w:bCs/>
        </w:rPr>
        <w:t>.</w:t>
      </w:r>
    </w:p>
    <w:p w14:paraId="03B0D3E7" w14:textId="5F669F6D" w:rsidR="00D75278" w:rsidRPr="00742731" w:rsidRDefault="00D75278" w:rsidP="00742731">
      <w:pPr>
        <w:spacing w:before="0"/>
        <w:rPr>
          <w:rFonts w:eastAsiaTheme="majorEastAsia" w:cstheme="majorBidi"/>
          <w:bCs/>
        </w:rPr>
      </w:pPr>
      <w:r>
        <w:rPr>
          <w:rFonts w:eastAsiaTheme="majorEastAsia" w:cstheme="majorBidi"/>
          <w:bCs/>
        </w:rPr>
        <w:t xml:space="preserve">Examples of the types of behaviour covered by this Policy are referred to within </w:t>
      </w:r>
      <w:r w:rsidRPr="00742731">
        <w:rPr>
          <w:rFonts w:eastAsiaTheme="majorEastAsia" w:cstheme="majorBidi"/>
          <w:b/>
        </w:rPr>
        <w:t>Appendix B</w:t>
      </w:r>
      <w:r>
        <w:rPr>
          <w:rFonts w:eastAsiaTheme="majorEastAsia" w:cstheme="majorBidi"/>
          <w:bCs/>
        </w:rPr>
        <w:t xml:space="preserve">. </w:t>
      </w:r>
    </w:p>
    <w:p w14:paraId="0E72F2F5" w14:textId="5802777F" w:rsidR="00F913CD" w:rsidRPr="000014FA" w:rsidRDefault="00F913CD" w:rsidP="0013779C">
      <w:pPr>
        <w:pStyle w:val="Heading2"/>
      </w:pPr>
      <w:bookmarkStart w:id="17" w:name="_Toc89326547"/>
      <w:bookmarkStart w:id="18" w:name="_Toc96254000"/>
      <w:bookmarkStart w:id="19" w:name="_Toc111190859"/>
      <w:r w:rsidRPr="000014FA">
        <w:t>Roles and Responsibilities</w:t>
      </w:r>
      <w:bookmarkStart w:id="20" w:name="_Toc84611047"/>
      <w:bookmarkEnd w:id="17"/>
      <w:bookmarkEnd w:id="18"/>
      <w:bookmarkEnd w:id="19"/>
    </w:p>
    <w:p w14:paraId="01A41CC2" w14:textId="58607EED" w:rsidR="00F913CD" w:rsidRPr="0015255F" w:rsidRDefault="00446E1E" w:rsidP="00225AB9">
      <w:pPr>
        <w:pStyle w:val="Heading3"/>
      </w:pPr>
      <w:bookmarkStart w:id="21" w:name="_Toc84611048"/>
      <w:bookmarkStart w:id="22" w:name="_Toc96254001"/>
      <w:bookmarkStart w:id="23" w:name="_Toc111190860"/>
      <w:bookmarkEnd w:id="20"/>
      <w:r>
        <w:t>ICB</w:t>
      </w:r>
      <w:r w:rsidR="00F913CD" w:rsidRPr="0015255F">
        <w:t xml:space="preserve"> Board</w:t>
      </w:r>
      <w:bookmarkEnd w:id="21"/>
      <w:bookmarkEnd w:id="22"/>
      <w:bookmarkEnd w:id="23"/>
    </w:p>
    <w:p w14:paraId="578D155F" w14:textId="41793D12" w:rsidR="000014FA" w:rsidRDefault="005D2D2B" w:rsidP="000014FA">
      <w:pPr>
        <w:pStyle w:val="Style2"/>
      </w:pPr>
      <w:r w:rsidRPr="00326BC2">
        <w:t xml:space="preserve">The </w:t>
      </w:r>
      <w:r w:rsidR="00514738">
        <w:t xml:space="preserve">ICB </w:t>
      </w:r>
      <w:r w:rsidRPr="00326BC2">
        <w:t xml:space="preserve">Board is responsible for ensuring that </w:t>
      </w:r>
      <w:r>
        <w:t>it provides</w:t>
      </w:r>
      <w:r w:rsidRPr="00326BC2">
        <w:t xml:space="preserve"> a safe environment and systems of work for staff, patients, </w:t>
      </w:r>
      <w:r>
        <w:t xml:space="preserve">contractors, </w:t>
      </w:r>
      <w:r w:rsidRPr="00326BC2">
        <w:t>and visitors, as far as is reasonably practicable.</w:t>
      </w:r>
      <w:r w:rsidRPr="00F01AC1">
        <w:t xml:space="preserve"> </w:t>
      </w:r>
      <w:r>
        <w:t>Ensuring that they have assurances that the requirements of the Violence Prevention and Reduction Standard 2021 are met</w:t>
      </w:r>
      <w:r w:rsidR="000014FA">
        <w:t>.</w:t>
      </w:r>
    </w:p>
    <w:p w14:paraId="04FC39FB" w14:textId="18A90B05" w:rsidR="00F913CD" w:rsidRPr="0015255F" w:rsidRDefault="009B6373" w:rsidP="00732AFE">
      <w:pPr>
        <w:pStyle w:val="Heading3"/>
      </w:pPr>
      <w:bookmarkStart w:id="24" w:name="_Toc96254002"/>
      <w:bookmarkStart w:id="25" w:name="_Toc111190861"/>
      <w:r>
        <w:t>Audit</w:t>
      </w:r>
      <w:r w:rsidR="00F913CD" w:rsidRPr="0015255F">
        <w:t xml:space="preserve"> Committee</w:t>
      </w:r>
      <w:bookmarkEnd w:id="24"/>
      <w:bookmarkEnd w:id="25"/>
    </w:p>
    <w:p w14:paraId="47F133DF" w14:textId="77777777" w:rsidR="005D2D2B" w:rsidRPr="00326BC2" w:rsidRDefault="005D2D2B" w:rsidP="005D2D2B">
      <w:pPr>
        <w:pStyle w:val="Style2"/>
        <w:contextualSpacing w:val="0"/>
      </w:pPr>
      <w:r w:rsidRPr="00326BC2">
        <w:t xml:space="preserve">The </w:t>
      </w:r>
      <w:r>
        <w:t xml:space="preserve">Committee </w:t>
      </w:r>
      <w:r w:rsidRPr="00326BC2">
        <w:t xml:space="preserve">shall be responsible for: </w:t>
      </w:r>
    </w:p>
    <w:p w14:paraId="0B5FBE71" w14:textId="1E3CE40B" w:rsidR="005D2D2B" w:rsidRPr="00326BC2" w:rsidRDefault="005D2D2B" w:rsidP="00B40E4E">
      <w:pPr>
        <w:pStyle w:val="Style2"/>
        <w:numPr>
          <w:ilvl w:val="0"/>
          <w:numId w:val="17"/>
        </w:numPr>
        <w:ind w:left="1701" w:hanging="283"/>
      </w:pPr>
      <w:r w:rsidRPr="00326BC2">
        <w:t xml:space="preserve">Monitoring compliance with this </w:t>
      </w:r>
      <w:r w:rsidR="00AF371C">
        <w:t>p</w:t>
      </w:r>
      <w:r w:rsidRPr="00326BC2">
        <w:t>olicy</w:t>
      </w:r>
      <w:r w:rsidR="00AF371C">
        <w:t>.</w:t>
      </w:r>
    </w:p>
    <w:p w14:paraId="7319B304" w14:textId="21053D36" w:rsidR="005D2D2B" w:rsidRPr="00326BC2" w:rsidRDefault="005D2D2B" w:rsidP="00B40E4E">
      <w:pPr>
        <w:pStyle w:val="Style2"/>
        <w:numPr>
          <w:ilvl w:val="0"/>
          <w:numId w:val="17"/>
        </w:numPr>
        <w:ind w:left="1701" w:hanging="283"/>
      </w:pPr>
      <w:r w:rsidRPr="00326BC2">
        <w:t>Receiving reports from the Security Management</w:t>
      </w:r>
      <w:r>
        <w:t xml:space="preserve"> Specialist</w:t>
      </w:r>
      <w:r w:rsidR="00AF371C">
        <w:t>.</w:t>
      </w:r>
    </w:p>
    <w:p w14:paraId="3BF5829C" w14:textId="6109F178" w:rsidR="005D2D2B" w:rsidRDefault="005D2D2B" w:rsidP="00B40E4E">
      <w:pPr>
        <w:pStyle w:val="Style2"/>
        <w:numPr>
          <w:ilvl w:val="0"/>
          <w:numId w:val="17"/>
        </w:numPr>
        <w:ind w:left="1701" w:hanging="283"/>
      </w:pPr>
      <w:r w:rsidRPr="00326BC2">
        <w:t>Escalating any security concerns identified and/or recommendations made</w:t>
      </w:r>
      <w:r w:rsidR="00AF371C">
        <w:t>.</w:t>
      </w:r>
    </w:p>
    <w:p w14:paraId="37D465B3" w14:textId="167FA856" w:rsidR="00AF371C" w:rsidRDefault="005D2D2B" w:rsidP="00B40E4E">
      <w:pPr>
        <w:pStyle w:val="Style2"/>
        <w:numPr>
          <w:ilvl w:val="0"/>
          <w:numId w:val="17"/>
        </w:numPr>
        <w:ind w:left="1702" w:hanging="284"/>
      </w:pPr>
      <w:r w:rsidRPr="00381C34">
        <w:t>Ensuring that the requirements of the Violence Prevention and Reduction Standard 2021 are met via progress updates f</w:t>
      </w:r>
      <w:r>
        <w:t>ro</w:t>
      </w:r>
      <w:r w:rsidRPr="00381C34">
        <w:t xml:space="preserve">m the </w:t>
      </w:r>
      <w:r w:rsidR="00446E1E">
        <w:t>Local Security Management Specialist (</w:t>
      </w:r>
      <w:r w:rsidRPr="00381C34">
        <w:t>LSMS</w:t>
      </w:r>
      <w:r w:rsidR="00446E1E">
        <w:t>)</w:t>
      </w:r>
      <w:r w:rsidR="00AF371C">
        <w:t>.</w:t>
      </w:r>
    </w:p>
    <w:p w14:paraId="5BCF8188" w14:textId="68117480" w:rsidR="00AF371C" w:rsidRDefault="00AF371C" w:rsidP="00B40E4E">
      <w:pPr>
        <w:pStyle w:val="Style2"/>
        <w:numPr>
          <w:ilvl w:val="0"/>
          <w:numId w:val="17"/>
        </w:numPr>
        <w:ind w:left="1702" w:hanging="284"/>
      </w:pPr>
      <w:r>
        <w:t>R</w:t>
      </w:r>
      <w:r w:rsidRPr="009B6373">
        <w:t>atify</w:t>
      </w:r>
      <w:r>
        <w:t>ing</w:t>
      </w:r>
      <w:r w:rsidRPr="009B6373">
        <w:t xml:space="preserve"> and recommend</w:t>
      </w:r>
      <w:r>
        <w:t>ing</w:t>
      </w:r>
      <w:r w:rsidRPr="009B6373">
        <w:t xml:space="preserve"> </w:t>
      </w:r>
      <w:r>
        <w:t xml:space="preserve">to the ICB Board </w:t>
      </w:r>
      <w:r w:rsidRPr="009B6373">
        <w:t xml:space="preserve">for final approval </w:t>
      </w:r>
      <w:r>
        <w:t>any new or significantly amended security policies.</w:t>
      </w:r>
    </w:p>
    <w:p w14:paraId="09015869" w14:textId="77777777" w:rsidR="00AF371C" w:rsidRDefault="00AF371C" w:rsidP="00B40E4E">
      <w:pPr>
        <w:pStyle w:val="Style2"/>
        <w:numPr>
          <w:ilvl w:val="0"/>
          <w:numId w:val="17"/>
        </w:numPr>
        <w:ind w:left="1702" w:hanging="284"/>
        <w:contextualSpacing w:val="0"/>
      </w:pPr>
      <w:r>
        <w:t>A</w:t>
      </w:r>
      <w:r w:rsidRPr="009B6373">
        <w:t>pprov</w:t>
      </w:r>
      <w:r>
        <w:t>ing</w:t>
      </w:r>
      <w:r w:rsidRPr="009B6373">
        <w:t xml:space="preserve"> any </w:t>
      </w:r>
      <w:r>
        <w:t xml:space="preserve">security </w:t>
      </w:r>
      <w:r w:rsidRPr="009B6373">
        <w:t>policies that have been subject to no revisions or only minor changes from the previous version.</w:t>
      </w:r>
      <w:bookmarkStart w:id="26" w:name="_Toc96254004"/>
    </w:p>
    <w:p w14:paraId="2032CA85" w14:textId="60F097ED" w:rsidR="00F913CD" w:rsidRPr="0015255F" w:rsidRDefault="00F913CD" w:rsidP="00AF371C">
      <w:pPr>
        <w:pStyle w:val="Heading3"/>
      </w:pPr>
      <w:bookmarkStart w:id="27" w:name="_Toc111190862"/>
      <w:r w:rsidRPr="0015255F">
        <w:t>Chief Executive</w:t>
      </w:r>
      <w:bookmarkEnd w:id="26"/>
      <w:bookmarkEnd w:id="27"/>
    </w:p>
    <w:p w14:paraId="57901AA5" w14:textId="63A5D03A" w:rsidR="00F913CD" w:rsidRPr="0015255F" w:rsidRDefault="005D2D2B" w:rsidP="008B0894">
      <w:pPr>
        <w:pStyle w:val="Style2"/>
        <w:spacing w:before="120" w:after="120"/>
        <w:contextualSpacing w:val="0"/>
      </w:pPr>
      <w:r w:rsidRPr="00326BC2">
        <w:t>The Chief Executive is responsible for ensuring that appropriate arrangements are in place, to reduce, where it is reasonably practicable, the</w:t>
      </w:r>
      <w:r>
        <w:t xml:space="preserve"> incidence of violence related incidents</w:t>
      </w:r>
      <w:r w:rsidR="008B0894">
        <w:t>.</w:t>
      </w:r>
      <w:bookmarkStart w:id="28" w:name="_Toc84611052"/>
    </w:p>
    <w:p w14:paraId="6D12178A" w14:textId="73990F19" w:rsidR="00DA1DBD" w:rsidRPr="00C1618F" w:rsidRDefault="005D2D2B" w:rsidP="00732AFE">
      <w:pPr>
        <w:pStyle w:val="Heading3"/>
      </w:pPr>
      <w:bookmarkStart w:id="29" w:name="_Toc111190863"/>
      <w:r w:rsidRPr="00C1618F">
        <w:t>Director of Resources</w:t>
      </w:r>
      <w:bookmarkEnd w:id="29"/>
    </w:p>
    <w:p w14:paraId="6F8CF456" w14:textId="2E6F7223" w:rsidR="005D2D2B" w:rsidRPr="00326BC2" w:rsidRDefault="005D2D2B" w:rsidP="005D2D2B">
      <w:pPr>
        <w:pStyle w:val="Style2"/>
      </w:pPr>
      <w:bookmarkStart w:id="30" w:name="_Toc96254006"/>
      <w:r w:rsidRPr="00C1618F">
        <w:t>The Director of Resources</w:t>
      </w:r>
      <w:r>
        <w:t xml:space="preserve"> i</w:t>
      </w:r>
      <w:r w:rsidRPr="00326BC2">
        <w:t>s responsible for ensuring:</w:t>
      </w:r>
    </w:p>
    <w:p w14:paraId="7B4F2605" w14:textId="0248EB04" w:rsidR="005D2D2B" w:rsidRPr="00326BC2" w:rsidRDefault="005D2D2B" w:rsidP="00260F29">
      <w:pPr>
        <w:pStyle w:val="ListParagraph"/>
        <w:numPr>
          <w:ilvl w:val="0"/>
          <w:numId w:val="18"/>
        </w:numPr>
      </w:pPr>
      <w:r w:rsidRPr="00326BC2">
        <w:t xml:space="preserve">The formulation, implementation and maintenance of an effective policy and supporting framework for the management of a safe and secure environment. </w:t>
      </w:r>
    </w:p>
    <w:p w14:paraId="267285DA" w14:textId="30E2A3A9" w:rsidR="005D2D2B" w:rsidRPr="00326BC2" w:rsidRDefault="005D2D2B" w:rsidP="00B40E4E">
      <w:pPr>
        <w:pStyle w:val="ListParagraph"/>
        <w:numPr>
          <w:ilvl w:val="0"/>
          <w:numId w:val="18"/>
        </w:numPr>
      </w:pPr>
      <w:r w:rsidRPr="00326BC2">
        <w:t xml:space="preserve">Instituting regular campaigns to highlight the importance of the responsibilities of all staff. </w:t>
      </w:r>
    </w:p>
    <w:p w14:paraId="1285D5BD" w14:textId="2BC710F9" w:rsidR="005D2D2B" w:rsidRPr="00FB646E" w:rsidRDefault="005D2D2B" w:rsidP="00B40E4E">
      <w:pPr>
        <w:pStyle w:val="ListParagraph"/>
        <w:numPr>
          <w:ilvl w:val="0"/>
          <w:numId w:val="18"/>
        </w:numPr>
      </w:pPr>
      <w:r w:rsidRPr="0052788E">
        <w:t xml:space="preserve">Ensuring that details of incidents are recorded on the incident reporting system to comply with The Management of Health and </w:t>
      </w:r>
      <w:r w:rsidRPr="00FB646E">
        <w:t xml:space="preserve">Safety at Work Regulations </w:t>
      </w:r>
      <w:r w:rsidR="00446E1E">
        <w:t>and where an incident meets the relevant criteria, to the Health &amp; Safety Executive in accordance with the Reporting of Injuries, Diseases and Dangerous Occurrences Regulations 1995</w:t>
      </w:r>
      <w:r w:rsidR="004B382C">
        <w:t xml:space="preserve"> (RIDDOR)</w:t>
      </w:r>
      <w:r w:rsidRPr="00FB646E">
        <w:t xml:space="preserve"> </w:t>
      </w:r>
    </w:p>
    <w:p w14:paraId="7E0B3255" w14:textId="77777777" w:rsidR="005E2D9D" w:rsidRDefault="005D2D2B" w:rsidP="00B40E4E">
      <w:pPr>
        <w:pStyle w:val="ListParagraph"/>
        <w:numPr>
          <w:ilvl w:val="0"/>
          <w:numId w:val="18"/>
        </w:numPr>
      </w:pPr>
      <w:r w:rsidRPr="00FB646E">
        <w:t>Ensuring that managers review any significantly violent incident and that it is used to evaluate policy guidelines and skills to avoid further incidents.</w:t>
      </w:r>
    </w:p>
    <w:p w14:paraId="2EFC732C" w14:textId="0EE2DBCE" w:rsidR="005E2D9D" w:rsidRPr="00447E47" w:rsidRDefault="005E2D9D" w:rsidP="00447E47">
      <w:pPr>
        <w:pStyle w:val="Heading3"/>
      </w:pPr>
      <w:bookmarkStart w:id="31" w:name="_Toc111190864"/>
      <w:r w:rsidRPr="00447E47">
        <w:t>Local Security Management Specialist (LSMS)</w:t>
      </w:r>
      <w:bookmarkEnd w:id="31"/>
    </w:p>
    <w:p w14:paraId="45138195" w14:textId="30171BEB" w:rsidR="00446E1E" w:rsidRDefault="005E2D9D" w:rsidP="00742731">
      <w:pPr>
        <w:pStyle w:val="Style2"/>
        <w:contextualSpacing w:val="0"/>
      </w:pPr>
      <w:r>
        <w:t>The</w:t>
      </w:r>
      <w:r w:rsidR="00446E1E">
        <w:t xml:space="preserve"> ICB’s</w:t>
      </w:r>
      <w:r>
        <w:t xml:space="preserve"> LSMS will provide support to managers and staff affected </w:t>
      </w:r>
      <w:r w:rsidRPr="009E25D4">
        <w:t xml:space="preserve">by an incident of violence or aggression. This support may include liaison with criminal justice agencies to ensure appropriate sanctions are put in place. </w:t>
      </w:r>
    </w:p>
    <w:p w14:paraId="127E81F7" w14:textId="73DECAB5" w:rsidR="005E2D9D" w:rsidRDefault="005E2D9D" w:rsidP="00742731">
      <w:pPr>
        <w:pStyle w:val="Style2"/>
        <w:contextualSpacing w:val="0"/>
      </w:pPr>
      <w:r w:rsidRPr="009E25D4">
        <w:t xml:space="preserve">The LSMS is available to support staff involved or the victim of physical assaults through the legal process including up to and including attendance at Court as victims or witnesses. </w:t>
      </w:r>
      <w:r>
        <w:t>The LSMS will also:</w:t>
      </w:r>
      <w:r>
        <w:tab/>
      </w:r>
    </w:p>
    <w:p w14:paraId="4ACDE5C9" w14:textId="5E6827B7" w:rsidR="005E2D9D" w:rsidRDefault="005E2D9D" w:rsidP="00B40E4E">
      <w:pPr>
        <w:pStyle w:val="ListParagraph"/>
        <w:numPr>
          <w:ilvl w:val="0"/>
          <w:numId w:val="19"/>
        </w:numPr>
      </w:pPr>
      <w:r w:rsidRPr="009E25D4">
        <w:t>Promote security management advice at all levels of the organisation</w:t>
      </w:r>
      <w:r>
        <w:t>.</w:t>
      </w:r>
    </w:p>
    <w:p w14:paraId="683C9D3B" w14:textId="5CC87FB4" w:rsidR="005E2D9D" w:rsidRDefault="005E2D9D" w:rsidP="00B40E4E">
      <w:pPr>
        <w:pStyle w:val="ListParagraph"/>
        <w:numPr>
          <w:ilvl w:val="0"/>
          <w:numId w:val="19"/>
        </w:numPr>
      </w:pPr>
      <w:r w:rsidRPr="009E25D4">
        <w:t>Raise awareness of emerging risks within the organisation</w:t>
      </w:r>
      <w:r>
        <w:t>.</w:t>
      </w:r>
    </w:p>
    <w:p w14:paraId="6D46145C" w14:textId="7671A921" w:rsidR="005E2D9D" w:rsidRDefault="005E2D9D" w:rsidP="00B40E4E">
      <w:pPr>
        <w:pStyle w:val="ListParagraph"/>
        <w:numPr>
          <w:ilvl w:val="0"/>
          <w:numId w:val="19"/>
        </w:numPr>
      </w:pPr>
      <w:r w:rsidRPr="007601A8">
        <w:t>Promote the health and safety of sta</w:t>
      </w:r>
      <w:r>
        <w:t>ff.</w:t>
      </w:r>
    </w:p>
    <w:p w14:paraId="5E8D866D" w14:textId="2020D391" w:rsidR="005E2D9D" w:rsidRDefault="00446E1E" w:rsidP="00B40E4E">
      <w:pPr>
        <w:pStyle w:val="ListParagraph"/>
        <w:numPr>
          <w:ilvl w:val="0"/>
          <w:numId w:val="19"/>
        </w:numPr>
      </w:pPr>
      <w:r>
        <w:t xml:space="preserve"> </w:t>
      </w:r>
      <w:r w:rsidR="005E2D9D" w:rsidRPr="007601A8">
        <w:t xml:space="preserve">Provide clear and meaningful guidance to staff. </w:t>
      </w:r>
    </w:p>
    <w:p w14:paraId="3BB8BC39" w14:textId="70ADF622" w:rsidR="005E2D9D" w:rsidRDefault="005E2D9D" w:rsidP="00B40E4E">
      <w:pPr>
        <w:pStyle w:val="ListParagraph"/>
        <w:numPr>
          <w:ilvl w:val="0"/>
          <w:numId w:val="19"/>
        </w:numPr>
      </w:pPr>
      <w:r w:rsidRPr="009E25D4">
        <w:t xml:space="preserve">Collaborate with other relevant agencies, particularly the </w:t>
      </w:r>
      <w:r w:rsidR="004637D3" w:rsidRPr="009E25D4">
        <w:t>police,</w:t>
      </w:r>
      <w:r w:rsidR="004637D3">
        <w:t xml:space="preserve"> LSMSs</w:t>
      </w:r>
      <w:r w:rsidR="00690B36">
        <w:t xml:space="preserve"> from other organisations and the Health and Safety Executive,</w:t>
      </w:r>
      <w:r w:rsidRPr="009E25D4">
        <w:t xml:space="preserve"> to ensure effective handling and resolution of incidents.</w:t>
      </w:r>
    </w:p>
    <w:p w14:paraId="4DAA0B37" w14:textId="266129F2" w:rsidR="005E2D9D" w:rsidRDefault="00446E1E" w:rsidP="00B40E4E">
      <w:pPr>
        <w:pStyle w:val="ListParagraph"/>
        <w:numPr>
          <w:ilvl w:val="0"/>
          <w:numId w:val="19"/>
        </w:numPr>
      </w:pPr>
      <w:r>
        <w:t>Review and i</w:t>
      </w:r>
      <w:r w:rsidR="005E2D9D" w:rsidRPr="009E25D4">
        <w:t xml:space="preserve">nvestigate all incidents of actual and potential violence and aggression and identify any </w:t>
      </w:r>
      <w:r w:rsidR="005E2D9D" w:rsidRPr="00574E6E">
        <w:t xml:space="preserve">trends. </w:t>
      </w:r>
    </w:p>
    <w:p w14:paraId="0153E067" w14:textId="61187ED1" w:rsidR="005E2D9D" w:rsidRDefault="005E2D9D" w:rsidP="00B40E4E">
      <w:pPr>
        <w:pStyle w:val="ListParagraph"/>
        <w:numPr>
          <w:ilvl w:val="0"/>
          <w:numId w:val="19"/>
        </w:numPr>
      </w:pPr>
      <w:r w:rsidRPr="00574E6E">
        <w:t xml:space="preserve">Support </w:t>
      </w:r>
      <w:r w:rsidR="00446E1E">
        <w:t xml:space="preserve">the ICB Health and Safety Lead and other </w:t>
      </w:r>
      <w:r>
        <w:t>m</w:t>
      </w:r>
      <w:r w:rsidRPr="00574E6E">
        <w:t>an</w:t>
      </w:r>
      <w:r w:rsidR="00446E1E">
        <w:t>a</w:t>
      </w:r>
      <w:r w:rsidRPr="00574E6E">
        <w:t xml:space="preserve">gers in the completion of risk assessments for the prevention and management of violence and </w:t>
      </w:r>
      <w:r>
        <w:t>aggression.</w:t>
      </w:r>
    </w:p>
    <w:p w14:paraId="4BC1DE1B" w14:textId="353F916D" w:rsidR="005E2D9D" w:rsidRDefault="005E2D9D" w:rsidP="00B40E4E">
      <w:pPr>
        <w:pStyle w:val="ListParagraph"/>
        <w:numPr>
          <w:ilvl w:val="0"/>
          <w:numId w:val="19"/>
        </w:numPr>
      </w:pPr>
      <w:r>
        <w:t>Collate evidence to support compliance with the Violence Prevention and Reduction Standard 2021.</w:t>
      </w:r>
    </w:p>
    <w:p w14:paraId="4E5B0CF9" w14:textId="1BFA4445" w:rsidR="00F913CD" w:rsidRPr="005E2D9D" w:rsidRDefault="00F913CD" w:rsidP="00447E47">
      <w:pPr>
        <w:pStyle w:val="Heading3"/>
      </w:pPr>
      <w:bookmarkStart w:id="32" w:name="_Toc111190865"/>
      <w:r w:rsidRPr="005E2D9D">
        <w:t>Policy Author</w:t>
      </w:r>
      <w:bookmarkEnd w:id="28"/>
      <w:bookmarkEnd w:id="30"/>
      <w:bookmarkEnd w:id="32"/>
    </w:p>
    <w:p w14:paraId="3200F075" w14:textId="7892F6F3" w:rsidR="008B0894" w:rsidRPr="00DB36E6" w:rsidRDefault="00447E47" w:rsidP="008B0894">
      <w:pPr>
        <w:pStyle w:val="Style2"/>
        <w:rPr>
          <w:rFonts w:asciiTheme="majorHAnsi" w:eastAsiaTheme="majorEastAsia" w:hAnsiTheme="majorHAnsi" w:cstheme="majorBidi"/>
        </w:rPr>
      </w:pPr>
      <w:bookmarkStart w:id="33" w:name="_Toc84611054"/>
      <w:r>
        <w:t xml:space="preserve">The </w:t>
      </w:r>
      <w:r w:rsidR="006316DC">
        <w:t>Health and Safety Lead will be the p</w:t>
      </w:r>
      <w:r w:rsidR="008B0894" w:rsidRPr="00DB36E6">
        <w:t xml:space="preserve">olicy author </w:t>
      </w:r>
      <w:r w:rsidR="006316DC">
        <w:t xml:space="preserve">and </w:t>
      </w:r>
      <w:r>
        <w:t xml:space="preserve">is </w:t>
      </w:r>
      <w:r w:rsidR="008B0894" w:rsidRPr="00DB36E6">
        <w:t>responsible for reviewing and updating th</w:t>
      </w:r>
      <w:r>
        <w:t xml:space="preserve">is </w:t>
      </w:r>
      <w:r w:rsidR="008B0894" w:rsidRPr="00DB36E6">
        <w:t>polic</w:t>
      </w:r>
      <w:r>
        <w:t>y</w:t>
      </w:r>
      <w:r w:rsidR="008B0894" w:rsidRPr="00DB36E6">
        <w:t xml:space="preserve"> on an annual basis or should legislation, guidance, organisational change or other circumstances necessitate an earlier review</w:t>
      </w:r>
      <w:r w:rsidR="008A5783" w:rsidRPr="00DB36E6">
        <w:t>.</w:t>
      </w:r>
    </w:p>
    <w:p w14:paraId="5019279B" w14:textId="396F75FA" w:rsidR="00F913CD" w:rsidRPr="00447E47" w:rsidRDefault="00F913CD" w:rsidP="00447E47">
      <w:pPr>
        <w:pStyle w:val="Heading3"/>
      </w:pPr>
      <w:bookmarkStart w:id="34" w:name="_Toc96254008"/>
      <w:bookmarkStart w:id="35" w:name="_Toc111190866"/>
      <w:bookmarkEnd w:id="33"/>
      <w:r w:rsidRPr="00447E47">
        <w:t>Line Managers</w:t>
      </w:r>
      <w:bookmarkEnd w:id="34"/>
      <w:bookmarkEnd w:id="35"/>
      <w:r w:rsidRPr="00447E47">
        <w:t xml:space="preserve"> </w:t>
      </w:r>
    </w:p>
    <w:p w14:paraId="61D8A1AF" w14:textId="77777777" w:rsidR="006316DC" w:rsidRDefault="005E2D9D" w:rsidP="00742731">
      <w:pPr>
        <w:pStyle w:val="Style2"/>
        <w:contextualSpacing w:val="0"/>
      </w:pPr>
      <w:bookmarkStart w:id="36" w:name="_Toc84611055"/>
      <w:r w:rsidRPr="00DA71AB">
        <w:t>All managers are responsible for ensuring that policies,</w:t>
      </w:r>
      <w:r>
        <w:t xml:space="preserve"> </w:t>
      </w:r>
      <w:r w:rsidRPr="00DA71AB">
        <w:t>procedures,</w:t>
      </w:r>
      <w:r>
        <w:t xml:space="preserve"> </w:t>
      </w:r>
      <w:r w:rsidRPr="00DA71AB">
        <w:t>and</w:t>
      </w:r>
      <w:r>
        <w:t xml:space="preserve"> </w:t>
      </w:r>
      <w:r w:rsidRPr="00DA71AB">
        <w:t xml:space="preserve">processes within their work areas are adhered to and kept under review. </w:t>
      </w:r>
    </w:p>
    <w:p w14:paraId="6870718F" w14:textId="2C480445" w:rsidR="005E2D9D" w:rsidRPr="00DA71AB" w:rsidRDefault="005E2D9D" w:rsidP="00742731">
      <w:pPr>
        <w:pStyle w:val="Style2"/>
        <w:contextualSpacing w:val="0"/>
      </w:pPr>
      <w:r w:rsidRPr="00DA71AB">
        <w:t xml:space="preserve">Line Managers (including Senior Managers as appropriate) are </w:t>
      </w:r>
      <w:r>
        <w:t xml:space="preserve">also </w:t>
      </w:r>
      <w:r w:rsidRPr="00DA71AB">
        <w:t>responsible for:</w:t>
      </w:r>
    </w:p>
    <w:p w14:paraId="3CC17143" w14:textId="39272E4A" w:rsidR="005E2D9D" w:rsidRDefault="005E2D9D" w:rsidP="00B40E4E">
      <w:pPr>
        <w:pStyle w:val="ListParagraph"/>
        <w:numPr>
          <w:ilvl w:val="0"/>
          <w:numId w:val="20"/>
        </w:numPr>
      </w:pPr>
      <w:r w:rsidRPr="00DA71AB">
        <w:t>Implementing this policy and developing local procedures for the management of</w:t>
      </w:r>
      <w:r>
        <w:t xml:space="preserve"> </w:t>
      </w:r>
      <w:r w:rsidRPr="00DA71AB">
        <w:t>violence, aggression and abuse and reviewing them accordingly</w:t>
      </w:r>
      <w:r>
        <w:t>.</w:t>
      </w:r>
      <w:r w:rsidRPr="00DA71AB">
        <w:t xml:space="preserve"> </w:t>
      </w:r>
    </w:p>
    <w:p w14:paraId="6422E9E9" w14:textId="761E6896" w:rsidR="005E2D9D" w:rsidRPr="00DA71AB" w:rsidRDefault="005E2D9D" w:rsidP="00B40E4E">
      <w:pPr>
        <w:pStyle w:val="ListParagraph"/>
        <w:numPr>
          <w:ilvl w:val="0"/>
          <w:numId w:val="20"/>
        </w:numPr>
      </w:pPr>
      <w:r w:rsidRPr="00DA71AB">
        <w:t>Ensuring that staff receive the necessary training, including conflict resolution training, relevant to the level of identified risk</w:t>
      </w:r>
      <w:r>
        <w:t>.</w:t>
      </w:r>
    </w:p>
    <w:p w14:paraId="2A746FEE" w14:textId="172A64AC" w:rsidR="005E2D9D" w:rsidRPr="00DA71AB" w:rsidRDefault="005E2D9D" w:rsidP="00B40E4E">
      <w:pPr>
        <w:pStyle w:val="ListParagraph"/>
        <w:numPr>
          <w:ilvl w:val="0"/>
          <w:numId w:val="20"/>
        </w:numPr>
      </w:pPr>
      <w:r w:rsidRPr="00DA71AB">
        <w:t>Managing any incidents or staff concerns that are reported to them</w:t>
      </w:r>
      <w:r>
        <w:t>.</w:t>
      </w:r>
    </w:p>
    <w:p w14:paraId="4FF6C099" w14:textId="04A19D80" w:rsidR="005E2D9D" w:rsidRPr="008F3ED4" w:rsidRDefault="005E2D9D" w:rsidP="00B40E4E">
      <w:pPr>
        <w:pStyle w:val="ListParagraph"/>
        <w:numPr>
          <w:ilvl w:val="0"/>
          <w:numId w:val="20"/>
        </w:numPr>
      </w:pPr>
      <w:r w:rsidRPr="00DA71AB">
        <w:t xml:space="preserve">Ensuring that violence and aggression hazards are adequately identified, and </w:t>
      </w:r>
      <w:r w:rsidRPr="008F3ED4">
        <w:t>relevant control measures put in place</w:t>
      </w:r>
      <w:r>
        <w:t>.</w:t>
      </w:r>
    </w:p>
    <w:p w14:paraId="48477DD4" w14:textId="6DDC6675" w:rsidR="005E2D9D" w:rsidRPr="008F3ED4" w:rsidRDefault="005E2D9D" w:rsidP="00B40E4E">
      <w:pPr>
        <w:pStyle w:val="ListParagraph"/>
        <w:numPr>
          <w:ilvl w:val="0"/>
          <w:numId w:val="20"/>
        </w:numPr>
      </w:pPr>
      <w:r w:rsidRPr="008F3ED4">
        <w:t>Ensuring employees are involved or aware of risk assessments</w:t>
      </w:r>
      <w:r>
        <w:t>.</w:t>
      </w:r>
    </w:p>
    <w:p w14:paraId="79B31C75" w14:textId="7348334B" w:rsidR="005E2D9D" w:rsidRPr="008F3ED4" w:rsidRDefault="005E2D9D" w:rsidP="00B40E4E">
      <w:pPr>
        <w:pStyle w:val="ListParagraph"/>
        <w:numPr>
          <w:ilvl w:val="0"/>
          <w:numId w:val="20"/>
        </w:numPr>
      </w:pPr>
      <w:r w:rsidRPr="008F3ED4">
        <w:t>Ensuring that employees are aware of available means of advice and support</w:t>
      </w:r>
      <w:r>
        <w:t>.</w:t>
      </w:r>
    </w:p>
    <w:p w14:paraId="6757AAAA" w14:textId="5E3E3819" w:rsidR="005E2D9D" w:rsidRDefault="005E2D9D" w:rsidP="00B40E4E">
      <w:pPr>
        <w:pStyle w:val="ListParagraph"/>
        <w:numPr>
          <w:ilvl w:val="0"/>
          <w:numId w:val="20"/>
        </w:numPr>
      </w:pPr>
      <w:r w:rsidRPr="008F3ED4">
        <w:t xml:space="preserve">Taking all reasonable steps to reduce the risk of both physical and non-physical </w:t>
      </w:r>
      <w:r>
        <w:t>assault.</w:t>
      </w:r>
    </w:p>
    <w:p w14:paraId="293B26D5" w14:textId="1C28A492" w:rsidR="005E2D9D" w:rsidRPr="0076222A" w:rsidRDefault="005E2D9D" w:rsidP="00B40E4E">
      <w:pPr>
        <w:pStyle w:val="ListParagraph"/>
        <w:numPr>
          <w:ilvl w:val="0"/>
          <w:numId w:val="20"/>
        </w:numPr>
      </w:pPr>
      <w:r w:rsidRPr="0076222A">
        <w:t>Ensuring appropriate contact is maintained with the employee following an incident.</w:t>
      </w:r>
    </w:p>
    <w:p w14:paraId="5D4D8282" w14:textId="6B67FCA3" w:rsidR="005E2D9D" w:rsidRPr="0076222A" w:rsidRDefault="005E2D9D" w:rsidP="00B40E4E">
      <w:pPr>
        <w:pStyle w:val="ListParagraph"/>
        <w:numPr>
          <w:ilvl w:val="0"/>
          <w:numId w:val="20"/>
        </w:numPr>
      </w:pPr>
      <w:r w:rsidRPr="0076222A">
        <w:t xml:space="preserve">Ensuring that </w:t>
      </w:r>
      <w:r>
        <w:t>an</w:t>
      </w:r>
      <w:r w:rsidRPr="0076222A">
        <w:t xml:space="preserve"> employee </w:t>
      </w:r>
      <w:r>
        <w:t xml:space="preserve">affected by violence and aggression </w:t>
      </w:r>
      <w:r w:rsidRPr="0076222A">
        <w:t>is aware of counselling services available and refer the employee where appropriate</w:t>
      </w:r>
      <w:r>
        <w:t>.</w:t>
      </w:r>
    </w:p>
    <w:p w14:paraId="019499DC" w14:textId="26C0A8BB" w:rsidR="005E2D9D" w:rsidRPr="0076222A" w:rsidRDefault="005E2D9D" w:rsidP="00B40E4E">
      <w:pPr>
        <w:pStyle w:val="ListParagraph"/>
        <w:numPr>
          <w:ilvl w:val="0"/>
          <w:numId w:val="20"/>
        </w:numPr>
      </w:pPr>
      <w:r w:rsidRPr="0076222A">
        <w:t>Ensuring that all incidents of physical and non-physical assault are reported</w:t>
      </w:r>
      <w:r>
        <w:t>.</w:t>
      </w:r>
    </w:p>
    <w:p w14:paraId="13543058" w14:textId="3918BC28" w:rsidR="006F36FD" w:rsidRPr="0015255F" w:rsidRDefault="005E2D9D" w:rsidP="00B40E4E">
      <w:pPr>
        <w:pStyle w:val="ListParagraph"/>
        <w:numPr>
          <w:ilvl w:val="0"/>
          <w:numId w:val="20"/>
        </w:numPr>
      </w:pPr>
      <w:r w:rsidRPr="0076222A">
        <w:t xml:space="preserve">Ensuring that potential violent/aggressive patients are highlighted to staff, other </w:t>
      </w:r>
      <w:r>
        <w:t>t</w:t>
      </w:r>
      <w:r w:rsidRPr="0076222A">
        <w:t xml:space="preserve">eam </w:t>
      </w:r>
      <w:r>
        <w:t>m</w:t>
      </w:r>
      <w:r w:rsidRPr="0076222A">
        <w:t>anagers and where appropriate, other partner agencies</w:t>
      </w:r>
      <w:r w:rsidR="006316DC">
        <w:t xml:space="preserve"> and that appropriate control measures are implemented to protect staff</w:t>
      </w:r>
    </w:p>
    <w:p w14:paraId="5F8853CC" w14:textId="4714F1BE" w:rsidR="00F913CD" w:rsidRPr="0015255F" w:rsidRDefault="00F913CD" w:rsidP="00732AFE">
      <w:pPr>
        <w:pStyle w:val="Heading3"/>
      </w:pPr>
      <w:bookmarkStart w:id="37" w:name="_Toc96254009"/>
      <w:bookmarkStart w:id="38" w:name="_Toc111190867"/>
      <w:r w:rsidRPr="0015255F">
        <w:t>All Staff</w:t>
      </w:r>
      <w:bookmarkEnd w:id="36"/>
      <w:bookmarkEnd w:id="37"/>
      <w:bookmarkEnd w:id="38"/>
    </w:p>
    <w:p w14:paraId="5001B119" w14:textId="77777777" w:rsidR="00447E47" w:rsidRPr="00447E47" w:rsidRDefault="00447E47" w:rsidP="00447E47">
      <w:pPr>
        <w:pStyle w:val="Style2"/>
      </w:pPr>
      <w:r w:rsidRPr="00447E47">
        <w:t>All employees are responsible for ensuring they are aware of the policy and procedures that apply to them by:</w:t>
      </w:r>
    </w:p>
    <w:p w14:paraId="6BF3E4CB" w14:textId="77777777" w:rsidR="00447E47" w:rsidRPr="00447E47" w:rsidRDefault="00447E47" w:rsidP="00B40E4E">
      <w:pPr>
        <w:pStyle w:val="ListParagraph"/>
        <w:numPr>
          <w:ilvl w:val="0"/>
          <w:numId w:val="21"/>
        </w:numPr>
      </w:pPr>
      <w:r w:rsidRPr="00447E47">
        <w:t xml:space="preserve">Ensuring they are up to date with any related training. </w:t>
      </w:r>
    </w:p>
    <w:p w14:paraId="069D425A" w14:textId="6ACB1EEC" w:rsidR="00447E47" w:rsidRPr="00447E47" w:rsidRDefault="00447E47" w:rsidP="00B40E4E">
      <w:pPr>
        <w:pStyle w:val="ListParagraph"/>
        <w:numPr>
          <w:ilvl w:val="0"/>
          <w:numId w:val="21"/>
        </w:numPr>
      </w:pPr>
      <w:r w:rsidRPr="00447E47">
        <w:t>Familiarising themselves with all related policies and procedures</w:t>
      </w:r>
      <w:r w:rsidR="006316DC">
        <w:t>.</w:t>
      </w:r>
    </w:p>
    <w:p w14:paraId="0BD4BF43" w14:textId="0F31508E" w:rsidR="006F36FD" w:rsidRDefault="00447E47" w:rsidP="00B40E4E">
      <w:pPr>
        <w:pStyle w:val="ListParagraph"/>
        <w:numPr>
          <w:ilvl w:val="0"/>
          <w:numId w:val="21"/>
        </w:numPr>
      </w:pPr>
      <w:r w:rsidRPr="00447E47">
        <w:t xml:space="preserve">Reporting any violence or aggression in line with the incident reporting policy, including all incidents of assaults, unsafe environments, and any </w:t>
      </w:r>
      <w:r w:rsidR="006316DC">
        <w:t>’</w:t>
      </w:r>
      <w:r w:rsidRPr="00447E47">
        <w:t>near misses</w:t>
      </w:r>
      <w:r w:rsidR="006316DC">
        <w:t>’</w:t>
      </w:r>
      <w:r w:rsidRPr="00447E47">
        <w:t xml:space="preserve"> that could have led to a serious incident</w:t>
      </w:r>
      <w:r w:rsidR="006316DC">
        <w:t>.</w:t>
      </w:r>
      <w:r w:rsidR="008B0894">
        <w:t xml:space="preserve">  </w:t>
      </w:r>
    </w:p>
    <w:p w14:paraId="0079C255" w14:textId="055F6431" w:rsidR="00F913CD" w:rsidRPr="0015255F" w:rsidRDefault="00F913CD" w:rsidP="0013779C">
      <w:pPr>
        <w:pStyle w:val="Heading2"/>
      </w:pPr>
      <w:bookmarkStart w:id="39" w:name="_Toc84611056"/>
      <w:bookmarkStart w:id="40" w:name="_Toc89326548"/>
      <w:bookmarkStart w:id="41" w:name="_Toc96254010"/>
      <w:bookmarkStart w:id="42" w:name="_Toc111190868"/>
      <w:r w:rsidRPr="0015255F">
        <w:t>Policy Detail</w:t>
      </w:r>
      <w:bookmarkEnd w:id="39"/>
      <w:bookmarkEnd w:id="40"/>
      <w:bookmarkEnd w:id="41"/>
      <w:bookmarkEnd w:id="42"/>
    </w:p>
    <w:p w14:paraId="099C2749" w14:textId="35D60838" w:rsidR="006F36FD" w:rsidRPr="00AD6FC0" w:rsidRDefault="00B967E2" w:rsidP="00AD6FC0">
      <w:pPr>
        <w:pStyle w:val="Style1"/>
        <w:rPr>
          <w:b/>
          <w:bCs/>
        </w:rPr>
      </w:pPr>
      <w:bookmarkStart w:id="43" w:name="_Toc111190869"/>
      <w:r>
        <w:rPr>
          <w:rStyle w:val="Heading3Char"/>
        </w:rPr>
        <w:t>Incidents</w:t>
      </w:r>
      <w:r w:rsidR="00B034DA" w:rsidRPr="00B034DA">
        <w:rPr>
          <w:rStyle w:val="Heading3Char"/>
        </w:rPr>
        <w:t xml:space="preserve"> of Violence, Aggression and </w:t>
      </w:r>
      <w:r w:rsidR="00741721">
        <w:rPr>
          <w:rStyle w:val="Heading3Char"/>
        </w:rPr>
        <w:t>Vexatious Behaviour</w:t>
      </w:r>
      <w:bookmarkEnd w:id="43"/>
    </w:p>
    <w:p w14:paraId="4659BF28" w14:textId="105F4403" w:rsidR="00296E75" w:rsidRDefault="00296E75" w:rsidP="00296E75">
      <w:pPr>
        <w:pStyle w:val="Style2"/>
        <w:contextualSpacing w:val="0"/>
      </w:pPr>
      <w:bookmarkStart w:id="44" w:name="_Toc47428164"/>
      <w:r w:rsidRPr="00296E75">
        <w:t>All incidents</w:t>
      </w:r>
      <w:r w:rsidR="006316DC">
        <w:t xml:space="preserve"> of violence, aggression or vexatious behaviour,</w:t>
      </w:r>
      <w:r w:rsidRPr="00296E75">
        <w:t xml:space="preserve"> irrelevant of severity</w:t>
      </w:r>
      <w:r w:rsidR="006316DC">
        <w:t>,</w:t>
      </w:r>
      <w:r w:rsidRPr="00296E75">
        <w:t xml:space="preserve"> must be reported using the incident reporting system </w:t>
      </w:r>
      <w:r w:rsidR="004637D3">
        <w:t>to</w:t>
      </w:r>
      <w:r w:rsidRPr="00296E75">
        <w:t xml:space="preserve"> provide information for identifying trends and </w:t>
      </w:r>
      <w:r w:rsidR="006316DC">
        <w:t>‘</w:t>
      </w:r>
      <w:r w:rsidRPr="00296E75">
        <w:t>hot spots</w:t>
      </w:r>
      <w:r w:rsidR="006316DC">
        <w:t>’</w:t>
      </w:r>
      <w:r w:rsidRPr="00296E75">
        <w:t xml:space="preserve">. </w:t>
      </w:r>
      <w:r w:rsidR="006316DC">
        <w:t>T</w:t>
      </w:r>
      <w:r w:rsidRPr="00296E75">
        <w:t xml:space="preserve">his enables managers to support their staff and offer any additional assistance they may need </w:t>
      </w:r>
      <w:r>
        <w:t>such as</w:t>
      </w:r>
      <w:r w:rsidRPr="00296E75">
        <w:t xml:space="preserve"> counselling</w:t>
      </w:r>
      <w:r>
        <w:t>.</w:t>
      </w:r>
    </w:p>
    <w:p w14:paraId="00F1DEE8" w14:textId="55E01262" w:rsidR="00296E75" w:rsidRDefault="00296E75" w:rsidP="00296E75">
      <w:pPr>
        <w:pStyle w:val="Style2"/>
        <w:contextualSpacing w:val="0"/>
      </w:pPr>
      <w:r w:rsidRPr="00296E75">
        <w:t xml:space="preserve">Once reported, all incidents will be investigated by </w:t>
      </w:r>
      <w:r>
        <w:t xml:space="preserve">the individual’s line manager in </w:t>
      </w:r>
      <w:r w:rsidRPr="00296E75">
        <w:t xml:space="preserve">liaison with the </w:t>
      </w:r>
      <w:r w:rsidR="006316DC">
        <w:t xml:space="preserve">Health and Safety Lead and </w:t>
      </w:r>
      <w:r w:rsidRPr="00296E75">
        <w:t xml:space="preserve">LSMS. It is important to identify the aggravating factors following an incident of violence and aggression to prevent the event from happening again. </w:t>
      </w:r>
    </w:p>
    <w:p w14:paraId="4D7CF833" w14:textId="7ABAC29C" w:rsidR="00296E75" w:rsidRDefault="00296E75" w:rsidP="00296E75">
      <w:pPr>
        <w:pStyle w:val="Style2"/>
      </w:pPr>
      <w:r>
        <w:t xml:space="preserve">A decision will be made by the line manager and the LSMS whether any local sanctions are required.  The LSMS will then assist with the preparation of verbal warnings or warning letters, as appropriate at different stages, about future conduct and what actions will be taken if the unacceptable behaviour is repeated. Where the behaviour is serious or repeated and this poses a risk to staff safety, then other </w:t>
      </w:r>
      <w:r>
        <w:tab/>
        <w:t>sanctions will be considered such as:</w:t>
      </w:r>
    </w:p>
    <w:p w14:paraId="4E4A9518" w14:textId="77777777" w:rsidR="00296E75" w:rsidRDefault="00296E75" w:rsidP="00B40E4E">
      <w:pPr>
        <w:pStyle w:val="ListParagraph"/>
        <w:numPr>
          <w:ilvl w:val="0"/>
          <w:numId w:val="28"/>
        </w:numPr>
      </w:pPr>
      <w:r>
        <w:t>Withdrawal of support or care as appropriate.</w:t>
      </w:r>
    </w:p>
    <w:p w14:paraId="1E468805" w14:textId="5699168B" w:rsidR="00296E75" w:rsidRDefault="00296E75" w:rsidP="00B40E4E">
      <w:pPr>
        <w:pStyle w:val="ListParagraph"/>
        <w:numPr>
          <w:ilvl w:val="0"/>
          <w:numId w:val="28"/>
        </w:numPr>
      </w:pPr>
      <w:r>
        <w:t>Formal written warnings.</w:t>
      </w:r>
    </w:p>
    <w:p w14:paraId="12DCFA8A" w14:textId="3B670743" w:rsidR="00296E75" w:rsidRDefault="00296E75" w:rsidP="00B40E4E">
      <w:pPr>
        <w:pStyle w:val="ListParagraph"/>
        <w:numPr>
          <w:ilvl w:val="0"/>
          <w:numId w:val="28"/>
        </w:numPr>
      </w:pPr>
      <w:r>
        <w:t>Civil or criminal prosecution.</w:t>
      </w:r>
    </w:p>
    <w:p w14:paraId="7A8E6942" w14:textId="6A2A18AB" w:rsidR="006316DC" w:rsidRDefault="006316DC" w:rsidP="00B16F5C">
      <w:pPr>
        <w:pStyle w:val="Style2"/>
      </w:pPr>
      <w:r>
        <w:t xml:space="preserve">Where an incident involves ‘staff on staff’ violence or aggression, the Human Resources Team will also </w:t>
      </w:r>
      <w:r w:rsidR="004637D3">
        <w:t>be consulted</w:t>
      </w:r>
      <w:r>
        <w:t>, with disciplinary action being an additional sanction available</w:t>
      </w:r>
      <w:r w:rsidR="00C3364A">
        <w:t>.</w:t>
      </w:r>
      <w:r>
        <w:t xml:space="preserve"> </w:t>
      </w:r>
    </w:p>
    <w:p w14:paraId="0F4C95A0" w14:textId="77777777" w:rsidR="00741721" w:rsidRDefault="00741721" w:rsidP="00741721">
      <w:pPr>
        <w:pStyle w:val="Heading3"/>
        <w:rPr>
          <w:rFonts w:eastAsia="Calibri"/>
        </w:rPr>
      </w:pPr>
      <w:bookmarkStart w:id="45" w:name="_Toc111190870"/>
      <w:r>
        <w:t>Physical Assault</w:t>
      </w:r>
      <w:bookmarkEnd w:id="45"/>
    </w:p>
    <w:p w14:paraId="0814D0ED" w14:textId="77777777" w:rsidR="00741721" w:rsidRPr="00B034DA" w:rsidRDefault="00741721" w:rsidP="00741721">
      <w:pPr>
        <w:pStyle w:val="Style2"/>
      </w:pPr>
      <w:bookmarkStart w:id="46" w:name="_Hlk102382193"/>
      <w:r>
        <w:t>The following a</w:t>
      </w:r>
      <w:r w:rsidRPr="00B034DA">
        <w:t xml:space="preserve">ction </w:t>
      </w:r>
      <w:r>
        <w:t>should be taken if p</w:t>
      </w:r>
      <w:r w:rsidRPr="00B034DA">
        <w:t xml:space="preserve">hysical </w:t>
      </w:r>
      <w:r>
        <w:t>a</w:t>
      </w:r>
      <w:r w:rsidRPr="00B034DA">
        <w:t xml:space="preserve">ssault </w:t>
      </w:r>
      <w:r>
        <w:t>h</w:t>
      </w:r>
      <w:r w:rsidRPr="00B034DA">
        <w:t xml:space="preserve">as </w:t>
      </w:r>
      <w:r>
        <w:t>t</w:t>
      </w:r>
      <w:r w:rsidRPr="00B034DA">
        <w:t xml:space="preserve">aken </w:t>
      </w:r>
      <w:r>
        <w:t>p</w:t>
      </w:r>
      <w:r w:rsidRPr="00B034DA">
        <w:t xml:space="preserve">lace on a </w:t>
      </w:r>
      <w:r>
        <w:t>m</w:t>
      </w:r>
      <w:r w:rsidRPr="00B034DA">
        <w:t xml:space="preserve">ember of </w:t>
      </w:r>
      <w:r>
        <w:t>s</w:t>
      </w:r>
      <w:r w:rsidRPr="00B034DA">
        <w:t>taff:</w:t>
      </w:r>
    </w:p>
    <w:bookmarkEnd w:id="46"/>
    <w:p w14:paraId="219FD79C" w14:textId="4D02D877" w:rsidR="00741721" w:rsidRDefault="00741721" w:rsidP="00B40E4E">
      <w:pPr>
        <w:pStyle w:val="Style1"/>
        <w:numPr>
          <w:ilvl w:val="0"/>
          <w:numId w:val="24"/>
        </w:numPr>
        <w:ind w:left="1848" w:hanging="357"/>
        <w:contextualSpacing/>
        <w:rPr>
          <w:rFonts w:asciiTheme="minorHAnsi" w:eastAsia="Calibri" w:hAnsiTheme="minorHAnsi" w:cstheme="minorBidi"/>
        </w:rPr>
      </w:pPr>
      <w:r w:rsidRPr="00B034DA">
        <w:rPr>
          <w:rFonts w:asciiTheme="minorHAnsi" w:eastAsia="Calibri" w:hAnsiTheme="minorHAnsi" w:cstheme="minorBidi"/>
        </w:rPr>
        <w:t>Police to be contacted immediately by the person assaulted, their line</w:t>
      </w:r>
      <w:r>
        <w:rPr>
          <w:rFonts w:asciiTheme="minorHAnsi" w:eastAsia="Calibri" w:hAnsiTheme="minorHAnsi" w:cstheme="minorBidi"/>
        </w:rPr>
        <w:t xml:space="preserve"> </w:t>
      </w:r>
      <w:r w:rsidRPr="00B034DA">
        <w:rPr>
          <w:rFonts w:asciiTheme="minorHAnsi" w:eastAsia="Calibri" w:hAnsiTheme="minorHAnsi" w:cstheme="minorBidi"/>
        </w:rPr>
        <w:t>manager or</w:t>
      </w:r>
      <w:r>
        <w:rPr>
          <w:rFonts w:asciiTheme="minorHAnsi" w:eastAsia="Calibri" w:hAnsiTheme="minorHAnsi" w:cstheme="minorBidi"/>
        </w:rPr>
        <w:t xml:space="preserve"> </w:t>
      </w:r>
      <w:r w:rsidRPr="00B034DA">
        <w:rPr>
          <w:rFonts w:asciiTheme="minorHAnsi" w:eastAsia="Calibri" w:hAnsiTheme="minorHAnsi" w:cstheme="minorBidi"/>
        </w:rPr>
        <w:t>a relevant colleague</w:t>
      </w:r>
      <w:r>
        <w:rPr>
          <w:rFonts w:asciiTheme="minorHAnsi" w:eastAsia="Calibri" w:hAnsiTheme="minorHAnsi" w:cstheme="minorBidi"/>
        </w:rPr>
        <w:t>.</w:t>
      </w:r>
    </w:p>
    <w:p w14:paraId="01372739" w14:textId="787129B4" w:rsidR="004637D3" w:rsidRDefault="004637D3" w:rsidP="00B40E4E">
      <w:pPr>
        <w:pStyle w:val="Style1"/>
        <w:numPr>
          <w:ilvl w:val="0"/>
          <w:numId w:val="24"/>
        </w:numPr>
        <w:ind w:left="1848" w:hanging="357"/>
        <w:contextualSpacing/>
        <w:rPr>
          <w:rFonts w:asciiTheme="minorHAnsi" w:eastAsia="Calibri" w:hAnsiTheme="minorHAnsi" w:cstheme="minorBidi"/>
        </w:rPr>
      </w:pPr>
      <w:r w:rsidRPr="004637D3">
        <w:rPr>
          <w:rFonts w:asciiTheme="minorHAnsi" w:eastAsia="Calibri" w:hAnsiTheme="minorHAnsi" w:cstheme="minorBidi"/>
        </w:rPr>
        <w:t>Staff are encouraged to report all incidents of physical assault (with support as per above) to the Police which is particularly important if any injuries have been sustained as the individual may be entitled to apply for compensation under the Criminal Injuries Compensation Scheme.  There is a time limit for claiming under this scheme of 2 years and details logged with the Police will assist the claim process.</w:t>
      </w:r>
    </w:p>
    <w:p w14:paraId="0C1F4867" w14:textId="490585B9" w:rsidR="00741721" w:rsidRPr="00C1618F" w:rsidRDefault="00741721" w:rsidP="00B40E4E">
      <w:pPr>
        <w:pStyle w:val="Style1"/>
        <w:numPr>
          <w:ilvl w:val="0"/>
          <w:numId w:val="24"/>
        </w:numPr>
        <w:rPr>
          <w:rFonts w:asciiTheme="minorHAnsi" w:eastAsia="Calibri" w:hAnsiTheme="minorHAnsi" w:cstheme="minorBidi"/>
        </w:rPr>
      </w:pPr>
      <w:r w:rsidRPr="00B034DA">
        <w:rPr>
          <w:rFonts w:asciiTheme="minorHAnsi" w:eastAsia="Calibri" w:hAnsiTheme="minorHAnsi" w:cstheme="minorBidi"/>
        </w:rPr>
        <w:t xml:space="preserve">The </w:t>
      </w:r>
      <w:r w:rsidRPr="00C1618F">
        <w:rPr>
          <w:rFonts w:asciiTheme="minorHAnsi" w:eastAsia="Calibri" w:hAnsiTheme="minorHAnsi" w:cstheme="minorBidi"/>
        </w:rPr>
        <w:t xml:space="preserve">Director of Resources and the ICB’s </w:t>
      </w:r>
      <w:r w:rsidR="00C3364A">
        <w:rPr>
          <w:rFonts w:asciiTheme="minorHAnsi" w:eastAsia="Calibri" w:hAnsiTheme="minorHAnsi" w:cstheme="minorBidi"/>
        </w:rPr>
        <w:t xml:space="preserve">Health and Safety </w:t>
      </w:r>
      <w:r w:rsidRPr="00C1618F">
        <w:rPr>
          <w:rFonts w:asciiTheme="minorHAnsi" w:eastAsia="Calibri" w:hAnsiTheme="minorHAnsi" w:cstheme="minorBidi"/>
        </w:rPr>
        <w:t>Lead must be contacted, as soon as reasonably practicable, by the person assaulted, their line manager or a colleague.</w:t>
      </w:r>
    </w:p>
    <w:p w14:paraId="27294AE5" w14:textId="5C6316E0" w:rsidR="00741721" w:rsidRPr="00C1618F" w:rsidRDefault="00741721" w:rsidP="00741721">
      <w:pPr>
        <w:pStyle w:val="Style2"/>
      </w:pPr>
      <w:r w:rsidRPr="00C1618F">
        <w:t xml:space="preserve">The </w:t>
      </w:r>
      <w:r w:rsidR="00A550BA">
        <w:t>Health &amp; Safety Lead</w:t>
      </w:r>
      <w:r w:rsidRPr="00C1618F">
        <w:t xml:space="preserve"> will:</w:t>
      </w:r>
    </w:p>
    <w:p w14:paraId="762B04DC" w14:textId="096D477E" w:rsidR="00741721" w:rsidRPr="00B034DA" w:rsidRDefault="00741721" w:rsidP="00B40E4E">
      <w:pPr>
        <w:pStyle w:val="ListParagraph"/>
        <w:numPr>
          <w:ilvl w:val="0"/>
          <w:numId w:val="25"/>
        </w:numPr>
      </w:pPr>
      <w:r w:rsidRPr="00B034DA">
        <w:t xml:space="preserve">Contact, as soon as is reasonably practicable, the </w:t>
      </w:r>
      <w:r w:rsidR="00690B36">
        <w:t xml:space="preserve">LSMS </w:t>
      </w:r>
      <w:r w:rsidRPr="00B034DA">
        <w:t>with specific information on the assault.</w:t>
      </w:r>
    </w:p>
    <w:p w14:paraId="6B666BAC" w14:textId="77777777" w:rsidR="00741721" w:rsidRPr="00B034DA" w:rsidRDefault="00741721" w:rsidP="00B40E4E">
      <w:pPr>
        <w:pStyle w:val="ListParagraph"/>
        <w:numPr>
          <w:ilvl w:val="0"/>
          <w:numId w:val="25"/>
        </w:numPr>
      </w:pPr>
      <w:r w:rsidRPr="00B034DA">
        <w:t xml:space="preserve">Arrange for full co-operation to be given to </w:t>
      </w:r>
      <w:r>
        <w:t>the</w:t>
      </w:r>
      <w:r w:rsidRPr="00B034DA">
        <w:t xml:space="preserve"> police or the Local Security</w:t>
      </w:r>
      <w:r>
        <w:t xml:space="preserve"> </w:t>
      </w:r>
      <w:r w:rsidRPr="00B034DA">
        <w:t>Management Specialist and any subsequent action.</w:t>
      </w:r>
    </w:p>
    <w:p w14:paraId="02ABD4C0" w14:textId="3C88CEAD" w:rsidR="00690B36" w:rsidRDefault="00741721" w:rsidP="00B40E4E">
      <w:pPr>
        <w:pStyle w:val="ListParagraph"/>
        <w:numPr>
          <w:ilvl w:val="0"/>
          <w:numId w:val="25"/>
        </w:numPr>
      </w:pPr>
      <w:r w:rsidRPr="00B034DA">
        <w:t xml:space="preserve">Ensure details of the incident are recorded on the </w:t>
      </w:r>
      <w:r>
        <w:t>ICB</w:t>
      </w:r>
      <w:r w:rsidR="004B382C">
        <w:t>’</w:t>
      </w:r>
      <w:r>
        <w:t>s</w:t>
      </w:r>
      <w:r w:rsidRPr="00B034DA">
        <w:t xml:space="preserve"> incident recording system</w:t>
      </w:r>
      <w:r w:rsidR="004637D3">
        <w:t>. Information relating to the individual’s clinical condition or any other factors (i.e. any vulnerability factors per para 6.25 below) relevant to their behaviour at the time of the incident should also be recorded.</w:t>
      </w:r>
    </w:p>
    <w:p w14:paraId="533D9A26" w14:textId="3BFB40FE" w:rsidR="00741721" w:rsidRPr="00B034DA" w:rsidRDefault="00690B36" w:rsidP="00B40E4E">
      <w:pPr>
        <w:pStyle w:val="ListParagraph"/>
        <w:numPr>
          <w:ilvl w:val="0"/>
          <w:numId w:val="25"/>
        </w:numPr>
      </w:pPr>
      <w:r>
        <w:t xml:space="preserve">Report the incident to </w:t>
      </w:r>
      <w:r w:rsidR="004B382C">
        <w:t>the Health and Safety</w:t>
      </w:r>
      <w:r>
        <w:t xml:space="preserve"> Executive </w:t>
      </w:r>
      <w:r w:rsidR="00076506">
        <w:t>where</w:t>
      </w:r>
      <w:r>
        <w:t xml:space="preserve"> it meets the criteria</w:t>
      </w:r>
      <w:r w:rsidR="004B382C">
        <w:t xml:space="preserve"> under RIDDOR</w:t>
      </w:r>
      <w:r w:rsidR="00741721" w:rsidRPr="00B034DA">
        <w:t>.</w:t>
      </w:r>
    </w:p>
    <w:p w14:paraId="7D4F7699" w14:textId="77777777" w:rsidR="00741721" w:rsidRPr="00B034DA" w:rsidRDefault="00741721" w:rsidP="00B40E4E">
      <w:pPr>
        <w:pStyle w:val="ListParagraph"/>
        <w:numPr>
          <w:ilvl w:val="0"/>
          <w:numId w:val="25"/>
        </w:numPr>
      </w:pPr>
      <w:r w:rsidRPr="00B034DA">
        <w:t>Arrange for an acknowledgement of the report to be sent to the injured party and copied to the line manager to ensure that the necessary support</w:t>
      </w:r>
      <w:r>
        <w:t xml:space="preserve"> </w:t>
      </w:r>
      <w:r w:rsidRPr="00B034DA">
        <w:t>arrangements, such as counselling and or occupational health are offered.</w:t>
      </w:r>
      <w:r>
        <w:t xml:space="preserve">  </w:t>
      </w:r>
      <w:r w:rsidRPr="00B034DA">
        <w:t>The acknowledgement should state what action is being undertaken and the injured party should be kept informed of the progress and outcome.</w:t>
      </w:r>
    </w:p>
    <w:p w14:paraId="6C85C0C4" w14:textId="77777777" w:rsidR="00741721" w:rsidRPr="00B034DA" w:rsidRDefault="00741721" w:rsidP="00B40E4E">
      <w:pPr>
        <w:pStyle w:val="ListParagraph"/>
        <w:numPr>
          <w:ilvl w:val="0"/>
          <w:numId w:val="25"/>
        </w:numPr>
      </w:pPr>
      <w:r w:rsidRPr="00B034DA">
        <w:t>Ensure that all possible preventive action is taken to minimise the risk of a</w:t>
      </w:r>
      <w:r>
        <w:t xml:space="preserve"> </w:t>
      </w:r>
      <w:r w:rsidRPr="00B034DA">
        <w:t>similar incident reoccurring.</w:t>
      </w:r>
    </w:p>
    <w:p w14:paraId="624122B3" w14:textId="0F3ADE54" w:rsidR="00741721" w:rsidRDefault="00741721" w:rsidP="00B40E4E">
      <w:pPr>
        <w:pStyle w:val="ListParagraph"/>
        <w:numPr>
          <w:ilvl w:val="0"/>
          <w:numId w:val="25"/>
        </w:numPr>
      </w:pPr>
      <w:r w:rsidRPr="00B034DA">
        <w:t>Keep the line manager apprised of the on-going</w:t>
      </w:r>
      <w:r w:rsidR="00690B36">
        <w:t xml:space="preserve"> situation and the</w:t>
      </w:r>
      <w:r w:rsidRPr="00B034DA">
        <w:t xml:space="preserve"> </w:t>
      </w:r>
      <w:r w:rsidR="00690B36">
        <w:t>LSMS’s advice</w:t>
      </w:r>
      <w:r w:rsidRPr="00B034DA">
        <w:t>.</w:t>
      </w:r>
    </w:p>
    <w:p w14:paraId="606FE2A7" w14:textId="77777777" w:rsidR="00C12247" w:rsidRPr="00B034DA" w:rsidRDefault="00C12247" w:rsidP="00C12247"/>
    <w:p w14:paraId="77DD24D6" w14:textId="77777777" w:rsidR="00741721" w:rsidRPr="00B034DA" w:rsidRDefault="00741721" w:rsidP="00741721">
      <w:pPr>
        <w:pStyle w:val="Style2"/>
      </w:pPr>
      <w:r w:rsidRPr="00B034DA">
        <w:t>The line manager will:</w:t>
      </w:r>
    </w:p>
    <w:p w14:paraId="79DB1096" w14:textId="0C5D8121" w:rsidR="00741721" w:rsidRDefault="00741721" w:rsidP="00B40E4E">
      <w:pPr>
        <w:pStyle w:val="ListParagraph"/>
        <w:numPr>
          <w:ilvl w:val="0"/>
          <w:numId w:val="26"/>
        </w:numPr>
      </w:pPr>
      <w:r w:rsidRPr="006631EF">
        <w:t>Contact the employee directly to offer support, e.g. ensure the employee is aware of the counselling facilities available and the services of the Local</w:t>
      </w:r>
      <w:r>
        <w:t xml:space="preserve"> </w:t>
      </w:r>
      <w:r w:rsidRPr="006631EF">
        <w:t>Security Management Specialist</w:t>
      </w:r>
      <w:r w:rsidR="00690B36">
        <w:t xml:space="preserve"> (LSMS)</w:t>
      </w:r>
      <w:r w:rsidRPr="006631EF">
        <w:t>.</w:t>
      </w:r>
    </w:p>
    <w:p w14:paraId="64184B97" w14:textId="77777777" w:rsidR="00741721" w:rsidRPr="006631EF" w:rsidRDefault="00741721" w:rsidP="00B40E4E">
      <w:pPr>
        <w:pStyle w:val="ListParagraph"/>
        <w:numPr>
          <w:ilvl w:val="0"/>
          <w:numId w:val="26"/>
        </w:numPr>
      </w:pPr>
      <w:r w:rsidRPr="006631EF">
        <w:t>Offer support on an on-going basis as appropriate.</w:t>
      </w:r>
    </w:p>
    <w:p w14:paraId="1318DEDD" w14:textId="237178E3" w:rsidR="00741721" w:rsidRDefault="00741721" w:rsidP="00741721">
      <w:pPr>
        <w:pStyle w:val="Style2"/>
      </w:pPr>
      <w:r>
        <w:t xml:space="preserve">The ICB’s </w:t>
      </w:r>
      <w:r w:rsidR="00443D56">
        <w:t>Health and Safety</w:t>
      </w:r>
      <w:r>
        <w:t xml:space="preserve"> Lead in conjunction with the </w:t>
      </w:r>
      <w:r w:rsidR="00690B36">
        <w:t xml:space="preserve">(LSMS) </w:t>
      </w:r>
      <w:r>
        <w:t>will:</w:t>
      </w:r>
    </w:p>
    <w:p w14:paraId="3C2A7331" w14:textId="34E36697" w:rsidR="00741721" w:rsidRDefault="00CE444F" w:rsidP="00B40E4E">
      <w:pPr>
        <w:pStyle w:val="ListParagraph"/>
        <w:numPr>
          <w:ilvl w:val="0"/>
          <w:numId w:val="27"/>
        </w:numPr>
      </w:pPr>
      <w:r>
        <w:t xml:space="preserve">Liaise, co-operate with and monitor cases </w:t>
      </w:r>
      <w:r w:rsidR="004637D3">
        <w:t>of assault</w:t>
      </w:r>
      <w:r>
        <w:t xml:space="preserve"> that have been referred to and are being handled by the </w:t>
      </w:r>
      <w:r w:rsidR="004637D3">
        <w:t>police.</w:t>
      </w:r>
    </w:p>
    <w:p w14:paraId="4391ED67" w14:textId="1BC105D8" w:rsidR="00741721" w:rsidRDefault="006D1502" w:rsidP="00B40E4E">
      <w:pPr>
        <w:pStyle w:val="ListParagraph"/>
        <w:numPr>
          <w:ilvl w:val="0"/>
          <w:numId w:val="27"/>
        </w:numPr>
      </w:pPr>
      <w:r>
        <w:t xml:space="preserve">Ensure that </w:t>
      </w:r>
      <w:r w:rsidR="004637D3">
        <w:t>the progress</w:t>
      </w:r>
      <w:r w:rsidR="00741721">
        <w:t xml:space="preserve"> of the case is regularly monitored, </w:t>
      </w:r>
      <w:r>
        <w:t>and that the victim</w:t>
      </w:r>
      <w:r w:rsidR="00741721">
        <w:t xml:space="preserve"> and the ICB is kept updated</w:t>
      </w:r>
      <w:r>
        <w:t xml:space="preserve"> of any progress and outcomes.</w:t>
      </w:r>
      <w:r w:rsidR="00741721">
        <w:t>.</w:t>
      </w:r>
    </w:p>
    <w:p w14:paraId="55A460DE" w14:textId="7B4EF89A" w:rsidR="00741721" w:rsidRDefault="00741721" w:rsidP="00B40E4E">
      <w:pPr>
        <w:pStyle w:val="ListParagraph"/>
        <w:numPr>
          <w:ilvl w:val="0"/>
          <w:numId w:val="27"/>
        </w:numPr>
      </w:pPr>
      <w:r>
        <w:t>.</w:t>
      </w:r>
    </w:p>
    <w:p w14:paraId="1E24F918" w14:textId="452A0D04" w:rsidR="00741721" w:rsidRDefault="00741721" w:rsidP="00B40E4E">
      <w:pPr>
        <w:pStyle w:val="ListParagraph"/>
        <w:numPr>
          <w:ilvl w:val="0"/>
          <w:numId w:val="27"/>
        </w:numPr>
      </w:pPr>
      <w:r>
        <w:t>The ICB’s solicitors, if appropriate, will advise on the viability of civil proceedings in consultation with the ICB and the person(s) subjected to assault.</w:t>
      </w:r>
    </w:p>
    <w:p w14:paraId="705BD9EB" w14:textId="77777777" w:rsidR="00CE444F" w:rsidRDefault="00CE444F" w:rsidP="00CE444F">
      <w:pPr>
        <w:pStyle w:val="ListParagraph"/>
        <w:numPr>
          <w:ilvl w:val="0"/>
          <w:numId w:val="27"/>
        </w:numPr>
      </w:pPr>
      <w:r>
        <w:t>Where the matter has been reported to the police and the police have decided not to pursue the matter, consider whether the ICB should consider/initiate private prosecution and/or civil proceedings</w:t>
      </w:r>
    </w:p>
    <w:p w14:paraId="0EC3F9B2" w14:textId="77777777" w:rsidR="00CE444F" w:rsidRDefault="00CE444F" w:rsidP="00CE444F">
      <w:pPr>
        <w:pStyle w:val="ListParagraph"/>
        <w:numPr>
          <w:ilvl w:val="0"/>
          <w:numId w:val="27"/>
        </w:numPr>
      </w:pPr>
      <w:r>
        <w:t>Ensure that details of the incident are recorded on the ICB’s appropriate</w:t>
      </w:r>
    </w:p>
    <w:p w14:paraId="0F4ED5BE" w14:textId="77777777" w:rsidR="00CE444F" w:rsidRDefault="00CE444F" w:rsidP="00CE444F">
      <w:pPr>
        <w:pStyle w:val="ListParagraph"/>
        <w:numPr>
          <w:ilvl w:val="0"/>
          <w:numId w:val="27"/>
        </w:numPr>
      </w:pPr>
      <w:r>
        <w:t>Ensure that the incident is reported via the incident reporting system to comply with Health and Safety legislation.</w:t>
      </w:r>
    </w:p>
    <w:p w14:paraId="5E6A96B7" w14:textId="6620A43D" w:rsidR="00CE444F" w:rsidRDefault="00CE444F" w:rsidP="00CE444F">
      <w:pPr>
        <w:pStyle w:val="ListParagraph"/>
        <w:numPr>
          <w:ilvl w:val="0"/>
          <w:numId w:val="27"/>
        </w:numPr>
      </w:pPr>
      <w:r>
        <w:t xml:space="preserve">Ensure that an acknowledgement of the report is sent to the </w:t>
      </w:r>
      <w:r w:rsidR="004637D3">
        <w:t>victim and</w:t>
      </w:r>
      <w:r>
        <w:t xml:space="preserve"> ensure that any necessary support arrangements, such as counselling or occupational health are offered. The acknowledgement should state that the matter will be dealt with, that appropriate action will be taken and that the particular member of staff will be appraised of progress and outcome.</w:t>
      </w:r>
    </w:p>
    <w:p w14:paraId="71241B44" w14:textId="3B233B5D" w:rsidR="00AF371C" w:rsidRDefault="00AB6DBD" w:rsidP="00AB6DBD">
      <w:pPr>
        <w:pStyle w:val="Heading3"/>
        <w:numPr>
          <w:ilvl w:val="1"/>
          <w:numId w:val="44"/>
        </w:numPr>
        <w:tabs>
          <w:tab w:val="left" w:pos="1080"/>
        </w:tabs>
        <w:ind w:left="1170" w:hanging="1170"/>
        <w:rPr>
          <w:rFonts w:eastAsia="Calibri"/>
        </w:rPr>
      </w:pPr>
      <w:r>
        <w:rPr>
          <w:rFonts w:eastAsia="Calibri"/>
        </w:rPr>
        <w:tab/>
      </w:r>
      <w:bookmarkStart w:id="47" w:name="_Toc111190871"/>
      <w:r w:rsidR="004637D3">
        <w:rPr>
          <w:rFonts w:eastAsia="Calibri"/>
        </w:rPr>
        <w:t>Non-Physical</w:t>
      </w:r>
      <w:r w:rsidR="00AF371C">
        <w:rPr>
          <w:rFonts w:eastAsia="Calibri"/>
        </w:rPr>
        <w:t xml:space="preserve"> Assault</w:t>
      </w:r>
      <w:bookmarkEnd w:id="47"/>
    </w:p>
    <w:p w14:paraId="4A2668C6" w14:textId="783F9AD1" w:rsidR="000B725B" w:rsidRPr="000B725B" w:rsidRDefault="00AB6DBD" w:rsidP="00AB6DBD">
      <w:pPr>
        <w:pStyle w:val="Style2"/>
        <w:numPr>
          <w:ilvl w:val="0"/>
          <w:numId w:val="0"/>
        </w:numPr>
        <w:ind w:left="1170" w:hanging="1170"/>
      </w:pPr>
      <w:r>
        <w:t>6.3.1</w:t>
      </w:r>
      <w:r>
        <w:tab/>
      </w:r>
      <w:r w:rsidR="000B725B" w:rsidRPr="000B725B">
        <w:t xml:space="preserve">The following action should be taken if </w:t>
      </w:r>
      <w:r w:rsidR="000B725B">
        <w:t>a non-</w:t>
      </w:r>
      <w:r w:rsidR="000B725B" w:rsidRPr="000B725B">
        <w:t>physical assault has taken place on a member of staff:</w:t>
      </w:r>
    </w:p>
    <w:p w14:paraId="0FEB7DEF" w14:textId="64F5510C" w:rsidR="00AF371C" w:rsidRDefault="000B725B" w:rsidP="00B40E4E">
      <w:pPr>
        <w:pStyle w:val="ListParagraph"/>
        <w:numPr>
          <w:ilvl w:val="0"/>
          <w:numId w:val="29"/>
        </w:numPr>
      </w:pPr>
      <w:r>
        <w:t>W</w:t>
      </w:r>
      <w:r w:rsidR="00AF371C">
        <w:t>here appropriate the police should be contacted as soon as is practicable by</w:t>
      </w:r>
      <w:r>
        <w:t xml:space="preserve"> </w:t>
      </w:r>
      <w:r w:rsidR="00AF371C">
        <w:t>the person subject to the non-physical assault, their manager or relevant</w:t>
      </w:r>
      <w:r>
        <w:t xml:space="preserve"> </w:t>
      </w:r>
      <w:r w:rsidR="00AF371C">
        <w:t>colleague.</w:t>
      </w:r>
      <w:r>
        <w:t xml:space="preserve"> </w:t>
      </w:r>
    </w:p>
    <w:p w14:paraId="33D28B2D" w14:textId="61E93C88" w:rsidR="00AF371C" w:rsidRDefault="000B725B" w:rsidP="00B40E4E">
      <w:pPr>
        <w:pStyle w:val="ListParagraph"/>
        <w:numPr>
          <w:ilvl w:val="0"/>
          <w:numId w:val="29"/>
        </w:numPr>
      </w:pPr>
      <w:r>
        <w:t>T</w:t>
      </w:r>
      <w:r w:rsidR="00AF371C">
        <w:t>he police should be given information about the assailant’s clinical condition (if</w:t>
      </w:r>
      <w:r>
        <w:t xml:space="preserve"> </w:t>
      </w:r>
      <w:r w:rsidR="00AF371C">
        <w:t xml:space="preserve">known), if this could </w:t>
      </w:r>
      <w:r w:rsidR="004637D3">
        <w:t>be</w:t>
      </w:r>
      <w:r w:rsidR="00AF371C">
        <w:t xml:space="preserve"> a contributory factor leading to the non-physical</w:t>
      </w:r>
      <w:r>
        <w:t xml:space="preserve"> </w:t>
      </w:r>
      <w:r w:rsidR="00AF371C">
        <w:t>assault taking place, however, the presence of a clinical condition should not</w:t>
      </w:r>
      <w:r>
        <w:t xml:space="preserve"> </w:t>
      </w:r>
      <w:r w:rsidR="00AF371C">
        <w:t>necessarily preclude appropriate action being taken. This should be a matter for</w:t>
      </w:r>
      <w:r>
        <w:t xml:space="preserve"> </w:t>
      </w:r>
      <w:r w:rsidR="00AF371C">
        <w:t xml:space="preserve">the police and/or the </w:t>
      </w:r>
      <w:r>
        <w:t>ICB</w:t>
      </w:r>
      <w:r w:rsidR="00AF371C">
        <w:t>.</w:t>
      </w:r>
    </w:p>
    <w:p w14:paraId="597BC270" w14:textId="407E48CA" w:rsidR="00C649EA" w:rsidRDefault="00C649EA" w:rsidP="00B40E4E">
      <w:pPr>
        <w:pStyle w:val="ListParagraph"/>
        <w:numPr>
          <w:ilvl w:val="0"/>
          <w:numId w:val="29"/>
        </w:numPr>
      </w:pPr>
      <w:r>
        <w:t xml:space="preserve">Where the assailant may be considered vulnerable i.e. if they have any mental health condition, learning disability, a history of alcohol or drug </w:t>
      </w:r>
      <w:r w:rsidR="00AE050A">
        <w:t>dependency or an underlying clinical condition, staff should ensure that this is recorded in the incident record.</w:t>
      </w:r>
    </w:p>
    <w:p w14:paraId="2248522F" w14:textId="0BCB60DC" w:rsidR="00AF371C" w:rsidRDefault="000B725B" w:rsidP="00B40E4E">
      <w:pPr>
        <w:pStyle w:val="ListParagraph"/>
        <w:numPr>
          <w:ilvl w:val="0"/>
          <w:numId w:val="29"/>
        </w:numPr>
      </w:pPr>
      <w:r>
        <w:t>T</w:t>
      </w:r>
      <w:r w:rsidR="00AF371C">
        <w:t xml:space="preserve">he nominated </w:t>
      </w:r>
      <w:r w:rsidR="002E2F03">
        <w:t>lead</w:t>
      </w:r>
      <w:r w:rsidR="00952EAE">
        <w:t xml:space="preserve"> </w:t>
      </w:r>
      <w:r w:rsidR="002E2F03" w:rsidRPr="004637D3">
        <w:t>for security (H&amp;S Lead)</w:t>
      </w:r>
      <w:r>
        <w:t xml:space="preserve"> </w:t>
      </w:r>
      <w:r w:rsidR="00AF371C">
        <w:t xml:space="preserve">for the </w:t>
      </w:r>
      <w:r>
        <w:t xml:space="preserve">ICB </w:t>
      </w:r>
      <w:r w:rsidR="00AF371C">
        <w:t>must be contacted, as soon as</w:t>
      </w:r>
      <w:r>
        <w:t xml:space="preserve"> </w:t>
      </w:r>
      <w:r w:rsidR="00AF371C">
        <w:t>practicable, by the person suffering the abuse, their manager or relevant</w:t>
      </w:r>
      <w:r>
        <w:t xml:space="preserve"> </w:t>
      </w:r>
      <w:r w:rsidR="00AF371C">
        <w:t>colleague.</w:t>
      </w:r>
    </w:p>
    <w:p w14:paraId="4B8590B7" w14:textId="5B16F2E1" w:rsidR="00AF371C" w:rsidRDefault="00AF371C" w:rsidP="00412844">
      <w:pPr>
        <w:pStyle w:val="Style2"/>
        <w:numPr>
          <w:ilvl w:val="2"/>
          <w:numId w:val="47"/>
        </w:numPr>
        <w:ind w:left="1170" w:hanging="1170"/>
      </w:pPr>
      <w:r>
        <w:t xml:space="preserve">The nominated </w:t>
      </w:r>
      <w:r w:rsidR="000B725B" w:rsidRPr="00B067B3">
        <w:t>Security Director</w:t>
      </w:r>
      <w:r w:rsidR="000B725B">
        <w:t xml:space="preserve"> for the ICB</w:t>
      </w:r>
      <w:r>
        <w:t xml:space="preserve"> will:</w:t>
      </w:r>
    </w:p>
    <w:p w14:paraId="4DAAF2AA" w14:textId="3B001823" w:rsidR="00AF371C" w:rsidRDefault="000B725B" w:rsidP="00B40E4E">
      <w:pPr>
        <w:pStyle w:val="ListParagraph"/>
        <w:numPr>
          <w:ilvl w:val="0"/>
          <w:numId w:val="30"/>
        </w:numPr>
      </w:pPr>
      <w:bookmarkStart w:id="48" w:name="_Hlk106345274"/>
      <w:r>
        <w:t>L</w:t>
      </w:r>
      <w:r w:rsidR="00AF371C">
        <w:t>iaise, co-operate with and monitor cases of non-physical assault that have been</w:t>
      </w:r>
      <w:r>
        <w:t xml:space="preserve"> </w:t>
      </w:r>
      <w:r w:rsidR="00AF371C">
        <w:t>referred to and are being handled by the police.</w:t>
      </w:r>
    </w:p>
    <w:p w14:paraId="48A36857" w14:textId="2742B87B" w:rsidR="000B725B" w:rsidRDefault="000B725B" w:rsidP="00B40E4E">
      <w:pPr>
        <w:pStyle w:val="ListParagraph"/>
        <w:numPr>
          <w:ilvl w:val="0"/>
          <w:numId w:val="30"/>
        </w:numPr>
      </w:pPr>
      <w:r>
        <w:t>W</w:t>
      </w:r>
      <w:r w:rsidR="00AF371C">
        <w:t>here the matter has been reported to the police and the police have decided</w:t>
      </w:r>
      <w:r>
        <w:t xml:space="preserve"> </w:t>
      </w:r>
      <w:r w:rsidR="00AF371C">
        <w:t xml:space="preserve">not to pursue the matter, consider whether the </w:t>
      </w:r>
      <w:r>
        <w:t>ICB</w:t>
      </w:r>
      <w:r w:rsidR="00AF371C">
        <w:t xml:space="preserve"> should consider/initiate</w:t>
      </w:r>
      <w:r>
        <w:t xml:space="preserve"> </w:t>
      </w:r>
      <w:r w:rsidR="00AF371C">
        <w:t>private prosecution and/or civil proceedings</w:t>
      </w:r>
    </w:p>
    <w:p w14:paraId="12348498" w14:textId="6DE3C3A6" w:rsidR="00AF371C" w:rsidRDefault="000B725B" w:rsidP="00B40E4E">
      <w:pPr>
        <w:pStyle w:val="ListParagraph"/>
        <w:numPr>
          <w:ilvl w:val="0"/>
          <w:numId w:val="30"/>
        </w:numPr>
      </w:pPr>
      <w:r>
        <w:t>E</w:t>
      </w:r>
      <w:r w:rsidR="00AF371C">
        <w:t xml:space="preserve">nsure that details of the incident are recorded on the </w:t>
      </w:r>
      <w:r w:rsidR="00FC1C25">
        <w:t>ICB</w:t>
      </w:r>
      <w:r w:rsidR="00AF371C">
        <w:t>’s appropriate</w:t>
      </w:r>
    </w:p>
    <w:p w14:paraId="03CF7511" w14:textId="7247B7F9" w:rsidR="00AF371C" w:rsidRDefault="00076506" w:rsidP="00B40E4E">
      <w:pPr>
        <w:pStyle w:val="ListParagraph"/>
        <w:numPr>
          <w:ilvl w:val="0"/>
          <w:numId w:val="30"/>
        </w:numPr>
      </w:pPr>
      <w:r>
        <w:t xml:space="preserve">Ensure that the incident is reported via the </w:t>
      </w:r>
      <w:r w:rsidR="00AF371C">
        <w:t>incident reporting system to comply with Health and Safety legislation.</w:t>
      </w:r>
    </w:p>
    <w:p w14:paraId="32A05ED8" w14:textId="0AC6389F" w:rsidR="00AF371C" w:rsidRDefault="000B725B" w:rsidP="00B40E4E">
      <w:pPr>
        <w:pStyle w:val="ListParagraph"/>
        <w:numPr>
          <w:ilvl w:val="0"/>
          <w:numId w:val="30"/>
        </w:numPr>
      </w:pPr>
      <w:r>
        <w:t>E</w:t>
      </w:r>
      <w:r w:rsidR="00AF371C">
        <w:t xml:space="preserve">nsure that an acknowledgement of the report is sent to the </w:t>
      </w:r>
      <w:r w:rsidR="00B067B3">
        <w:t>victim and</w:t>
      </w:r>
      <w:r>
        <w:t xml:space="preserve"> </w:t>
      </w:r>
      <w:r w:rsidR="00AF371C">
        <w:t>ensure that any necessary support arrangements, such as counselling or</w:t>
      </w:r>
      <w:r>
        <w:t xml:space="preserve"> </w:t>
      </w:r>
      <w:r w:rsidR="00AF371C">
        <w:t>occupational health are offered. The acknowledgement should state that the</w:t>
      </w:r>
      <w:r>
        <w:t xml:space="preserve"> </w:t>
      </w:r>
      <w:r w:rsidR="00AF371C">
        <w:t>matter will be dealt with, that appropriate action will be taken and that the</w:t>
      </w:r>
      <w:r>
        <w:t xml:space="preserve"> </w:t>
      </w:r>
      <w:r w:rsidR="00AF371C">
        <w:t>particular member of staff will be appraised of progress and outcome.</w:t>
      </w:r>
    </w:p>
    <w:p w14:paraId="05719F8D" w14:textId="112F16FE" w:rsidR="00AF371C" w:rsidRPr="00AF371C" w:rsidRDefault="000B725B" w:rsidP="00B40E4E">
      <w:pPr>
        <w:pStyle w:val="ListParagraph"/>
        <w:numPr>
          <w:ilvl w:val="0"/>
          <w:numId w:val="30"/>
        </w:numPr>
      </w:pPr>
      <w:r>
        <w:t>E</w:t>
      </w:r>
      <w:r w:rsidR="00AF371C">
        <w:t>nsure the person subject to the non-physical assault is informed of the outcome</w:t>
      </w:r>
      <w:r>
        <w:t xml:space="preserve"> </w:t>
      </w:r>
      <w:r w:rsidR="00AF371C">
        <w:t>of any action taken</w:t>
      </w:r>
      <w:r>
        <w:t>.</w:t>
      </w:r>
    </w:p>
    <w:p w14:paraId="40349C69" w14:textId="156B29D9" w:rsidR="00B967E2" w:rsidRPr="00616CF2" w:rsidRDefault="00616CF2" w:rsidP="00AB6DBD">
      <w:pPr>
        <w:pStyle w:val="Heading3"/>
        <w:numPr>
          <w:ilvl w:val="1"/>
          <w:numId w:val="45"/>
        </w:numPr>
        <w:ind w:left="1080" w:hanging="1080"/>
        <w:rPr>
          <w:rFonts w:eastAsia="Times New Roman"/>
          <w:lang w:val="en-US"/>
        </w:rPr>
      </w:pPr>
      <w:bookmarkStart w:id="49" w:name="_Toc47428165"/>
      <w:bookmarkStart w:id="50" w:name="_Toc111190872"/>
      <w:bookmarkEnd w:id="44"/>
      <w:bookmarkEnd w:id="48"/>
      <w:r w:rsidRPr="00616CF2">
        <w:rPr>
          <w:rFonts w:eastAsia="Times New Roman"/>
          <w:lang w:val="en-US"/>
        </w:rPr>
        <w:t>V</w:t>
      </w:r>
      <w:bookmarkEnd w:id="49"/>
      <w:r w:rsidR="00B967E2" w:rsidRPr="00616CF2">
        <w:rPr>
          <w:rFonts w:eastAsia="Times New Roman"/>
          <w:lang w:val="en-US"/>
        </w:rPr>
        <w:t>exatious Behaviour</w:t>
      </w:r>
      <w:bookmarkEnd w:id="50"/>
    </w:p>
    <w:p w14:paraId="4C858862" w14:textId="66680366" w:rsidR="00B967E2" w:rsidRPr="00616CF2" w:rsidRDefault="00FC1C25" w:rsidP="00AB6DBD">
      <w:pPr>
        <w:pStyle w:val="Style2"/>
        <w:numPr>
          <w:ilvl w:val="2"/>
          <w:numId w:val="45"/>
        </w:numPr>
        <w:ind w:left="1080" w:hanging="1080"/>
        <w:contextualSpacing w:val="0"/>
        <w:rPr>
          <w:lang w:val="en-US"/>
        </w:rPr>
      </w:pPr>
      <w:r>
        <w:rPr>
          <w:lang w:val="en-US"/>
        </w:rPr>
        <w:t>V</w:t>
      </w:r>
      <w:r w:rsidR="00B967E2" w:rsidRPr="00616CF2">
        <w:rPr>
          <w:lang w:val="en-US"/>
        </w:rPr>
        <w:t xml:space="preserve">exatious behaviour can present itself in </w:t>
      </w:r>
      <w:r w:rsidR="00076506">
        <w:rPr>
          <w:lang w:val="en-US"/>
        </w:rPr>
        <w:t>several</w:t>
      </w:r>
      <w:r w:rsidR="00B967E2" w:rsidRPr="00616CF2">
        <w:rPr>
          <w:lang w:val="en-US"/>
        </w:rPr>
        <w:t xml:space="preserve"> ways and there is not one feature that</w:t>
      </w:r>
      <w:r w:rsidR="00616CF2" w:rsidRPr="00616CF2">
        <w:rPr>
          <w:lang w:val="en-US"/>
        </w:rPr>
        <w:t xml:space="preserve"> </w:t>
      </w:r>
      <w:r w:rsidR="00B967E2" w:rsidRPr="00616CF2">
        <w:rPr>
          <w:lang w:val="en-US"/>
        </w:rPr>
        <w:t>can be identified consistently. It can be defined as to persistently harass distress, annoy,</w:t>
      </w:r>
      <w:r w:rsidR="00616CF2" w:rsidRPr="00616CF2">
        <w:rPr>
          <w:lang w:val="en-US"/>
        </w:rPr>
        <w:t xml:space="preserve"> </w:t>
      </w:r>
      <w:r w:rsidR="00B967E2" w:rsidRPr="00616CF2">
        <w:rPr>
          <w:lang w:val="en-US"/>
        </w:rPr>
        <w:t>tease, cause trouble, agitate, disturb or pursue issues excessively. The main indicator is that</w:t>
      </w:r>
      <w:r w:rsidR="00616CF2" w:rsidRPr="00616CF2">
        <w:rPr>
          <w:lang w:val="en-US"/>
        </w:rPr>
        <w:t xml:space="preserve"> </w:t>
      </w:r>
      <w:r w:rsidR="00B967E2" w:rsidRPr="00616CF2">
        <w:rPr>
          <w:lang w:val="en-US"/>
        </w:rPr>
        <w:t>the presenting behaviour is persistent. Vexatious behaviour can be, but is not necessarily,</w:t>
      </w:r>
      <w:r w:rsidR="00616CF2">
        <w:rPr>
          <w:lang w:val="en-US"/>
        </w:rPr>
        <w:t xml:space="preserve"> </w:t>
      </w:r>
      <w:r w:rsidR="00B967E2" w:rsidRPr="00616CF2">
        <w:rPr>
          <w:lang w:val="en-US"/>
        </w:rPr>
        <w:t>violent or abusive in nature</w:t>
      </w:r>
      <w:r w:rsidR="000B3081">
        <w:rPr>
          <w:lang w:val="en-US"/>
        </w:rPr>
        <w:t>.</w:t>
      </w:r>
    </w:p>
    <w:p w14:paraId="4B6F84A0" w14:textId="767A07A6" w:rsidR="00B967E2" w:rsidRPr="00616CF2" w:rsidRDefault="00B967E2" w:rsidP="00AB6DBD">
      <w:pPr>
        <w:pStyle w:val="Style2"/>
        <w:numPr>
          <w:ilvl w:val="2"/>
          <w:numId w:val="45"/>
        </w:numPr>
        <w:ind w:left="1080" w:hanging="1080"/>
        <w:rPr>
          <w:rFonts w:eastAsia="Times New Roman"/>
          <w:lang w:val="en-US"/>
        </w:rPr>
      </w:pPr>
      <w:r w:rsidRPr="00616CF2">
        <w:rPr>
          <w:rFonts w:eastAsia="Times New Roman"/>
          <w:lang w:val="en-US"/>
        </w:rPr>
        <w:t xml:space="preserve">An individual who contacts the </w:t>
      </w:r>
      <w:r w:rsidR="00616CF2" w:rsidRPr="00616CF2">
        <w:rPr>
          <w:rFonts w:eastAsia="Times New Roman"/>
          <w:lang w:val="en-US"/>
        </w:rPr>
        <w:t>ICB</w:t>
      </w:r>
      <w:r w:rsidRPr="00616CF2">
        <w:rPr>
          <w:rFonts w:eastAsia="Times New Roman"/>
          <w:lang w:val="en-US"/>
        </w:rPr>
        <w:t xml:space="preserve"> may be deemed to be habitual and vexatious</w:t>
      </w:r>
      <w:r w:rsidR="00616CF2" w:rsidRPr="00616CF2">
        <w:rPr>
          <w:lang w:val="en-US"/>
        </w:rPr>
        <w:t xml:space="preserve"> </w:t>
      </w:r>
      <w:r w:rsidRPr="00616CF2">
        <w:rPr>
          <w:rFonts w:eastAsia="Times New Roman"/>
          <w:lang w:val="en-US"/>
        </w:rPr>
        <w:t xml:space="preserve">where previous or current contact with them shows that they meet </w:t>
      </w:r>
      <w:r w:rsidR="00616CF2" w:rsidRPr="00616CF2">
        <w:rPr>
          <w:rFonts w:eastAsia="Times New Roman"/>
          <w:lang w:val="en-US"/>
        </w:rPr>
        <w:t xml:space="preserve">two </w:t>
      </w:r>
      <w:r w:rsidRPr="00616CF2">
        <w:rPr>
          <w:rFonts w:eastAsia="Times New Roman"/>
          <w:lang w:val="en-US"/>
        </w:rPr>
        <w:t>or more</w:t>
      </w:r>
      <w:r w:rsidR="00616CF2" w:rsidRPr="00616CF2">
        <w:rPr>
          <w:rFonts w:eastAsia="Times New Roman"/>
          <w:lang w:val="en-US"/>
        </w:rPr>
        <w:t xml:space="preserve"> </w:t>
      </w:r>
      <w:r w:rsidRPr="00616CF2">
        <w:rPr>
          <w:rFonts w:eastAsia="Times New Roman"/>
          <w:lang w:val="en-US"/>
        </w:rPr>
        <w:t>(or are in serious breach of one) of the following criteria:</w:t>
      </w:r>
    </w:p>
    <w:p w14:paraId="103FD17C" w14:textId="7D407C20" w:rsidR="00B967E2" w:rsidRPr="00616CF2" w:rsidRDefault="00B967E2" w:rsidP="00B40E4E">
      <w:pPr>
        <w:pStyle w:val="ListParagraph"/>
        <w:numPr>
          <w:ilvl w:val="0"/>
          <w:numId w:val="31"/>
        </w:numPr>
        <w:rPr>
          <w:lang w:val="en-US"/>
        </w:rPr>
      </w:pPr>
      <w:r w:rsidRPr="00616CF2">
        <w:rPr>
          <w:lang w:val="en-US"/>
        </w:rPr>
        <w:t>Fail</w:t>
      </w:r>
      <w:r w:rsidR="00616CF2">
        <w:rPr>
          <w:lang w:val="en-US"/>
        </w:rPr>
        <w:t xml:space="preserve">ure </w:t>
      </w:r>
      <w:r w:rsidRPr="00616CF2">
        <w:rPr>
          <w:lang w:val="en-US"/>
        </w:rPr>
        <w:t>to change behaviour and/or attitude when warned during contact</w:t>
      </w:r>
      <w:r w:rsidR="00616CF2">
        <w:rPr>
          <w:lang w:val="en-US"/>
        </w:rPr>
        <w:t>.</w:t>
      </w:r>
    </w:p>
    <w:p w14:paraId="0315E52E" w14:textId="49FED269" w:rsidR="00B967E2" w:rsidRPr="00616CF2" w:rsidRDefault="00B967E2" w:rsidP="00B40E4E">
      <w:pPr>
        <w:pStyle w:val="ListParagraph"/>
        <w:numPr>
          <w:ilvl w:val="0"/>
          <w:numId w:val="31"/>
        </w:numPr>
        <w:rPr>
          <w:lang w:val="en-US"/>
        </w:rPr>
      </w:pPr>
      <w:r w:rsidRPr="00616CF2">
        <w:rPr>
          <w:lang w:val="en-US"/>
        </w:rPr>
        <w:t>Displa</w:t>
      </w:r>
      <w:r w:rsidR="00616CF2">
        <w:rPr>
          <w:lang w:val="en-US"/>
        </w:rPr>
        <w:t>ying</w:t>
      </w:r>
      <w:r w:rsidRPr="00616CF2">
        <w:rPr>
          <w:lang w:val="en-US"/>
        </w:rPr>
        <w:t xml:space="preserve"> unreasonable demands or expectations and fail</w:t>
      </w:r>
      <w:r w:rsidR="00616CF2">
        <w:rPr>
          <w:lang w:val="en-US"/>
        </w:rPr>
        <w:t>ing</w:t>
      </w:r>
      <w:r w:rsidRPr="00616CF2">
        <w:rPr>
          <w:lang w:val="en-US"/>
        </w:rPr>
        <w:t xml:space="preserve"> to accept that these may be</w:t>
      </w:r>
      <w:r w:rsidR="00616CF2" w:rsidRPr="00616CF2">
        <w:rPr>
          <w:lang w:val="en-US"/>
        </w:rPr>
        <w:t xml:space="preserve"> </w:t>
      </w:r>
      <w:r w:rsidRPr="00616CF2">
        <w:rPr>
          <w:lang w:val="en-US"/>
        </w:rPr>
        <w:t>unreasonable (e.g. insist</w:t>
      </w:r>
      <w:r w:rsidR="00616CF2">
        <w:rPr>
          <w:lang w:val="en-US"/>
        </w:rPr>
        <w:t>ing</w:t>
      </w:r>
      <w:r w:rsidRPr="00616CF2">
        <w:rPr>
          <w:lang w:val="en-US"/>
        </w:rPr>
        <w:t xml:space="preserve"> on responses being provided</w:t>
      </w:r>
      <w:r w:rsidR="00616CF2" w:rsidRPr="00616CF2">
        <w:rPr>
          <w:lang w:val="en-US"/>
        </w:rPr>
        <w:t xml:space="preserve"> </w:t>
      </w:r>
      <w:r w:rsidRPr="00616CF2">
        <w:rPr>
          <w:lang w:val="en-US"/>
        </w:rPr>
        <w:t>more urgently than is reasonable or recognised practice).</w:t>
      </w:r>
    </w:p>
    <w:p w14:paraId="289A0F33" w14:textId="5BA20ED0" w:rsidR="00B967E2" w:rsidRPr="00616CF2" w:rsidRDefault="00B967E2" w:rsidP="00B40E4E">
      <w:pPr>
        <w:pStyle w:val="ListParagraph"/>
        <w:numPr>
          <w:ilvl w:val="0"/>
          <w:numId w:val="31"/>
        </w:numPr>
        <w:rPr>
          <w:lang w:val="en-US"/>
        </w:rPr>
      </w:pPr>
      <w:r w:rsidRPr="00616CF2">
        <w:rPr>
          <w:lang w:val="en-US"/>
        </w:rPr>
        <w:t>Focu</w:t>
      </w:r>
      <w:r w:rsidR="00616CF2">
        <w:rPr>
          <w:lang w:val="en-US"/>
        </w:rPr>
        <w:t>sing</w:t>
      </w:r>
      <w:r w:rsidRPr="00616CF2">
        <w:rPr>
          <w:lang w:val="en-US"/>
        </w:rPr>
        <w:t xml:space="preserve"> on a trivial matter to an extent </w:t>
      </w:r>
      <w:r w:rsidR="00616CF2">
        <w:rPr>
          <w:lang w:val="en-US"/>
        </w:rPr>
        <w:t>that</w:t>
      </w:r>
      <w:r w:rsidRPr="00616CF2">
        <w:rPr>
          <w:lang w:val="en-US"/>
        </w:rPr>
        <w:t xml:space="preserve"> is out of proportion to its significance and</w:t>
      </w:r>
      <w:r w:rsidR="00616CF2" w:rsidRPr="00616CF2">
        <w:rPr>
          <w:lang w:val="en-US"/>
        </w:rPr>
        <w:t xml:space="preserve"> </w:t>
      </w:r>
      <w:r w:rsidRPr="00616CF2">
        <w:rPr>
          <w:lang w:val="en-US"/>
        </w:rPr>
        <w:t>continue</w:t>
      </w:r>
      <w:r w:rsidR="00616CF2">
        <w:rPr>
          <w:lang w:val="en-US"/>
        </w:rPr>
        <w:t>s</w:t>
      </w:r>
      <w:r w:rsidRPr="00616CF2">
        <w:rPr>
          <w:lang w:val="en-US"/>
        </w:rPr>
        <w:t xml:space="preserve"> to focus on this point.</w:t>
      </w:r>
    </w:p>
    <w:p w14:paraId="2C498FA9" w14:textId="18CFB9BB" w:rsidR="00B967E2" w:rsidRPr="00616CF2" w:rsidRDefault="00B967E2" w:rsidP="00B40E4E">
      <w:pPr>
        <w:pStyle w:val="ListParagraph"/>
        <w:numPr>
          <w:ilvl w:val="0"/>
          <w:numId w:val="31"/>
        </w:numPr>
        <w:rPr>
          <w:lang w:val="en-US"/>
        </w:rPr>
      </w:pPr>
      <w:r w:rsidRPr="00616CF2">
        <w:rPr>
          <w:lang w:val="en-US"/>
        </w:rPr>
        <w:t>See</w:t>
      </w:r>
      <w:r w:rsidR="00616CF2">
        <w:rPr>
          <w:lang w:val="en-US"/>
        </w:rPr>
        <w:t>ing</w:t>
      </w:r>
      <w:r w:rsidRPr="00616CF2">
        <w:rPr>
          <w:lang w:val="en-US"/>
        </w:rPr>
        <w:t xml:space="preserve"> to prolong contact by changing the substance of an enquiry or complaint o</w:t>
      </w:r>
      <w:r w:rsidR="00616CF2" w:rsidRPr="00616CF2">
        <w:rPr>
          <w:lang w:val="en-US"/>
        </w:rPr>
        <w:t xml:space="preserve">r </w:t>
      </w:r>
      <w:r w:rsidRPr="00616CF2">
        <w:rPr>
          <w:lang w:val="en-US"/>
        </w:rPr>
        <w:t>continually raise new issues and questions whilst a previous contact is still bein</w:t>
      </w:r>
      <w:r w:rsidR="00616CF2" w:rsidRPr="00616CF2">
        <w:rPr>
          <w:lang w:val="en-US"/>
        </w:rPr>
        <w:t xml:space="preserve">g </w:t>
      </w:r>
      <w:r w:rsidRPr="00616CF2">
        <w:rPr>
          <w:lang w:val="en-US"/>
        </w:rPr>
        <w:t xml:space="preserve">addressed. </w:t>
      </w:r>
    </w:p>
    <w:p w14:paraId="6EA8B601" w14:textId="048B04D6" w:rsidR="00B967E2" w:rsidRPr="00616CF2" w:rsidRDefault="00B967E2" w:rsidP="00B40E4E">
      <w:pPr>
        <w:pStyle w:val="ListParagraph"/>
        <w:numPr>
          <w:ilvl w:val="0"/>
          <w:numId w:val="31"/>
        </w:numPr>
        <w:rPr>
          <w:lang w:val="en-US"/>
        </w:rPr>
      </w:pPr>
      <w:r w:rsidRPr="00616CF2">
        <w:rPr>
          <w:lang w:val="en-US"/>
        </w:rPr>
        <w:t>Harass</w:t>
      </w:r>
      <w:r w:rsidR="00616CF2">
        <w:rPr>
          <w:lang w:val="en-US"/>
        </w:rPr>
        <w:t>ing</w:t>
      </w:r>
      <w:r w:rsidRPr="00616CF2">
        <w:rPr>
          <w:lang w:val="en-US"/>
        </w:rPr>
        <w:t>, personally abus</w:t>
      </w:r>
      <w:r w:rsidR="00616CF2">
        <w:rPr>
          <w:lang w:val="en-US"/>
        </w:rPr>
        <w:t xml:space="preserve">ing </w:t>
      </w:r>
      <w:r w:rsidRPr="00616CF2">
        <w:rPr>
          <w:lang w:val="en-US"/>
        </w:rPr>
        <w:t xml:space="preserve">or </w:t>
      </w:r>
      <w:r w:rsidR="00616CF2">
        <w:rPr>
          <w:lang w:val="en-US"/>
        </w:rPr>
        <w:t xml:space="preserve">being </w:t>
      </w:r>
      <w:r w:rsidRPr="00616CF2">
        <w:rPr>
          <w:lang w:val="en-US"/>
        </w:rPr>
        <w:t>verbally aggressive on more than one occasion</w:t>
      </w:r>
      <w:r w:rsidR="00616CF2">
        <w:rPr>
          <w:lang w:val="en-US"/>
        </w:rPr>
        <w:t xml:space="preserve">, where no </w:t>
      </w:r>
      <w:r w:rsidRPr="00616CF2">
        <w:rPr>
          <w:rFonts w:eastAsia="Times New Roman"/>
          <w:lang w:val="en-US"/>
        </w:rPr>
        <w:t xml:space="preserve">allowance </w:t>
      </w:r>
      <w:r w:rsidR="00616CF2">
        <w:rPr>
          <w:rFonts w:eastAsia="Times New Roman"/>
          <w:lang w:val="en-US"/>
        </w:rPr>
        <w:t xml:space="preserve">is applicable </w:t>
      </w:r>
      <w:r w:rsidRPr="00616CF2">
        <w:rPr>
          <w:rFonts w:eastAsia="Times New Roman"/>
          <w:lang w:val="en-US"/>
        </w:rPr>
        <w:t>for individuals who are experiencing a high</w:t>
      </w:r>
      <w:r w:rsidR="00616CF2" w:rsidRPr="00616CF2">
        <w:rPr>
          <w:rFonts w:eastAsia="Times New Roman"/>
          <w:lang w:val="en-US"/>
        </w:rPr>
        <w:t xml:space="preserve"> </w:t>
      </w:r>
      <w:r w:rsidRPr="00616CF2">
        <w:rPr>
          <w:rFonts w:eastAsia="Times New Roman"/>
          <w:lang w:val="en-US"/>
        </w:rPr>
        <w:t>degree of stress, anxiety or distress</w:t>
      </w:r>
      <w:r w:rsidR="00616CF2">
        <w:rPr>
          <w:rFonts w:eastAsia="Times New Roman"/>
          <w:lang w:val="en-US"/>
        </w:rPr>
        <w:t>.</w:t>
      </w:r>
    </w:p>
    <w:p w14:paraId="19C78A04" w14:textId="6436F3B2" w:rsidR="00B967E2" w:rsidRPr="00616CF2" w:rsidRDefault="00616CF2" w:rsidP="00B40E4E">
      <w:pPr>
        <w:pStyle w:val="ListParagraph"/>
        <w:numPr>
          <w:ilvl w:val="0"/>
          <w:numId w:val="31"/>
        </w:numPr>
        <w:rPr>
          <w:lang w:val="en-US"/>
        </w:rPr>
      </w:pPr>
      <w:r w:rsidRPr="00616CF2">
        <w:rPr>
          <w:lang w:val="en-US"/>
        </w:rPr>
        <w:t>R</w:t>
      </w:r>
      <w:r w:rsidR="00B967E2" w:rsidRPr="00616CF2">
        <w:rPr>
          <w:lang w:val="en-US"/>
        </w:rPr>
        <w:t>ecord</w:t>
      </w:r>
      <w:r w:rsidRPr="00616CF2">
        <w:rPr>
          <w:lang w:val="en-US"/>
        </w:rPr>
        <w:t>ing</w:t>
      </w:r>
      <w:r w:rsidR="00B967E2" w:rsidRPr="00616CF2">
        <w:rPr>
          <w:lang w:val="en-US"/>
        </w:rPr>
        <w:t xml:space="preserve"> meetings or face to face/telephone conversations</w:t>
      </w:r>
      <w:r w:rsidRPr="00616CF2">
        <w:rPr>
          <w:lang w:val="en-US"/>
        </w:rPr>
        <w:t xml:space="preserve"> </w:t>
      </w:r>
      <w:r w:rsidR="00B967E2" w:rsidRPr="00616CF2">
        <w:rPr>
          <w:lang w:val="en-US"/>
        </w:rPr>
        <w:t>without the prior knowledge and consent of the other parties involved</w:t>
      </w:r>
      <w:r>
        <w:rPr>
          <w:lang w:val="en-US"/>
        </w:rPr>
        <w:t>.</w:t>
      </w:r>
    </w:p>
    <w:p w14:paraId="793D4B89" w14:textId="182E1E04" w:rsidR="00B967E2" w:rsidRPr="00FC1C25" w:rsidRDefault="00FC1C25" w:rsidP="00412844">
      <w:pPr>
        <w:pStyle w:val="Style2"/>
        <w:numPr>
          <w:ilvl w:val="2"/>
          <w:numId w:val="45"/>
        </w:numPr>
        <w:ind w:left="1080" w:hanging="1080"/>
        <w:rPr>
          <w:rFonts w:eastAsia="Times New Roman"/>
          <w:lang w:val="en-US"/>
        </w:rPr>
      </w:pPr>
      <w:r w:rsidRPr="00FC1C25">
        <w:rPr>
          <w:lang w:val="en-US"/>
        </w:rPr>
        <w:t>Staff who are experiencing vexatious behaviour from a member of the public</w:t>
      </w:r>
      <w:r>
        <w:rPr>
          <w:lang w:val="en-US"/>
        </w:rPr>
        <w:t xml:space="preserve"> </w:t>
      </w:r>
      <w:r w:rsidR="00B967E2" w:rsidRPr="00FC1C25">
        <w:rPr>
          <w:rFonts w:eastAsia="Times New Roman"/>
          <w:lang w:val="en-US"/>
        </w:rPr>
        <w:t>should</w:t>
      </w:r>
      <w:r>
        <w:rPr>
          <w:rFonts w:eastAsia="Times New Roman"/>
          <w:lang w:val="en-US"/>
        </w:rPr>
        <w:t>:</w:t>
      </w:r>
    </w:p>
    <w:p w14:paraId="26A7E4BD" w14:textId="1C0B5EFB" w:rsidR="00FC1C25" w:rsidRPr="006F4997" w:rsidRDefault="00FC1C25" w:rsidP="00B40E4E">
      <w:pPr>
        <w:pStyle w:val="ListParagraph"/>
        <w:numPr>
          <w:ilvl w:val="0"/>
          <w:numId w:val="32"/>
        </w:numPr>
        <w:rPr>
          <w:lang w:val="en-US"/>
        </w:rPr>
      </w:pPr>
      <w:r w:rsidRPr="006F4997">
        <w:rPr>
          <w:lang w:val="en-US"/>
        </w:rPr>
        <w:t>Use the principles of conflict resolution similar to that of a non-physical assault when dealing with the individual.</w:t>
      </w:r>
    </w:p>
    <w:p w14:paraId="3F87BB49" w14:textId="7B4783C5" w:rsidR="00B967E2" w:rsidRPr="006F4997" w:rsidRDefault="00B967E2" w:rsidP="00B40E4E">
      <w:pPr>
        <w:pStyle w:val="ListParagraph"/>
        <w:numPr>
          <w:ilvl w:val="0"/>
          <w:numId w:val="32"/>
        </w:numPr>
        <w:rPr>
          <w:lang w:val="en-US"/>
        </w:rPr>
      </w:pPr>
      <w:r w:rsidRPr="006F4997">
        <w:rPr>
          <w:lang w:val="en-US"/>
        </w:rPr>
        <w:t xml:space="preserve">Record all contact with the </w:t>
      </w:r>
      <w:r w:rsidR="00FC1C25" w:rsidRPr="006F4997">
        <w:rPr>
          <w:lang w:val="en-US"/>
        </w:rPr>
        <w:t>individual</w:t>
      </w:r>
      <w:r w:rsidRPr="006F4997">
        <w:rPr>
          <w:lang w:val="en-US"/>
        </w:rPr>
        <w:t xml:space="preserve"> (time, date</w:t>
      </w:r>
      <w:r w:rsidR="00FC1C25" w:rsidRPr="006F4997">
        <w:rPr>
          <w:lang w:val="en-US"/>
        </w:rPr>
        <w:t xml:space="preserve">, </w:t>
      </w:r>
      <w:r w:rsidRPr="006F4997">
        <w:rPr>
          <w:lang w:val="en-US"/>
        </w:rPr>
        <w:t>duration</w:t>
      </w:r>
      <w:r w:rsidR="00FC1C25" w:rsidRPr="006F4997">
        <w:rPr>
          <w:lang w:val="en-US"/>
        </w:rPr>
        <w:t xml:space="preserve"> and content</w:t>
      </w:r>
      <w:r w:rsidRPr="006F4997">
        <w:rPr>
          <w:lang w:val="en-US"/>
        </w:rPr>
        <w:t>)</w:t>
      </w:r>
      <w:r w:rsidR="00FC1C25" w:rsidRPr="006F4997">
        <w:rPr>
          <w:lang w:val="en-US"/>
        </w:rPr>
        <w:t>.</w:t>
      </w:r>
    </w:p>
    <w:p w14:paraId="0E96086A" w14:textId="09E66008" w:rsidR="006F4997" w:rsidRPr="006F4997" w:rsidRDefault="00B967E2" w:rsidP="00B40E4E">
      <w:pPr>
        <w:pStyle w:val="ListParagraph"/>
        <w:numPr>
          <w:ilvl w:val="0"/>
          <w:numId w:val="32"/>
        </w:numPr>
        <w:rPr>
          <w:lang w:val="en-US"/>
        </w:rPr>
      </w:pPr>
      <w:r w:rsidRPr="006F4997">
        <w:rPr>
          <w:lang w:val="en-US"/>
        </w:rPr>
        <w:t>Report</w:t>
      </w:r>
      <w:r w:rsidR="00FC1C25" w:rsidRPr="006F4997">
        <w:rPr>
          <w:lang w:val="en-US"/>
        </w:rPr>
        <w:t xml:space="preserve"> </w:t>
      </w:r>
      <w:r w:rsidR="00603326">
        <w:rPr>
          <w:lang w:val="en-US"/>
        </w:rPr>
        <w:t>all</w:t>
      </w:r>
      <w:r w:rsidR="00FC1C25" w:rsidRPr="006F4997">
        <w:rPr>
          <w:lang w:val="en-US"/>
        </w:rPr>
        <w:t xml:space="preserve"> contacts to their line manager, including how these events affected them</w:t>
      </w:r>
      <w:r w:rsidR="006F4997" w:rsidRPr="006F4997">
        <w:rPr>
          <w:lang w:val="en-US"/>
        </w:rPr>
        <w:t xml:space="preserve">, and </w:t>
      </w:r>
      <w:r w:rsidR="00016399">
        <w:rPr>
          <w:lang w:val="en-US"/>
        </w:rPr>
        <w:t>via the ICB’s incident reporting system.</w:t>
      </w:r>
    </w:p>
    <w:p w14:paraId="0ADAD05D" w14:textId="79254FE8" w:rsidR="00B967E2" w:rsidRPr="00603326" w:rsidRDefault="006F4997" w:rsidP="00412844">
      <w:pPr>
        <w:pStyle w:val="Style2"/>
        <w:numPr>
          <w:ilvl w:val="2"/>
          <w:numId w:val="45"/>
        </w:numPr>
        <w:ind w:left="1080" w:hanging="1080"/>
        <w:contextualSpacing w:val="0"/>
        <w:rPr>
          <w:lang w:val="en-US"/>
        </w:rPr>
      </w:pPr>
      <w:r w:rsidRPr="00603326">
        <w:rPr>
          <w:rFonts w:eastAsia="Times New Roman"/>
          <w:lang w:val="en-US"/>
        </w:rPr>
        <w:t>The line manager will</w:t>
      </w:r>
      <w:r w:rsidR="00603326">
        <w:rPr>
          <w:rFonts w:eastAsia="Times New Roman"/>
          <w:lang w:val="en-US"/>
        </w:rPr>
        <w:t xml:space="preserve"> r</w:t>
      </w:r>
      <w:r w:rsidR="00FC1C25" w:rsidRPr="00603326">
        <w:rPr>
          <w:lang w:val="en-US"/>
        </w:rPr>
        <w:t xml:space="preserve">isk assess future contact with the individual </w:t>
      </w:r>
      <w:r w:rsidR="00B067B3" w:rsidRPr="00603326">
        <w:rPr>
          <w:lang w:val="en-US"/>
        </w:rPr>
        <w:t>to</w:t>
      </w:r>
      <w:r w:rsidR="00FC1C25" w:rsidRPr="00603326">
        <w:rPr>
          <w:lang w:val="en-US"/>
        </w:rPr>
        <w:t xml:space="preserve"> ensure </w:t>
      </w:r>
      <w:r w:rsidRPr="00603326">
        <w:rPr>
          <w:lang w:val="en-US"/>
        </w:rPr>
        <w:t xml:space="preserve">ongoing </w:t>
      </w:r>
      <w:r w:rsidR="00FC1C25" w:rsidRPr="00603326">
        <w:rPr>
          <w:lang w:val="en-US"/>
        </w:rPr>
        <w:t>staff safety</w:t>
      </w:r>
      <w:r w:rsidRPr="00603326">
        <w:rPr>
          <w:lang w:val="en-US"/>
        </w:rPr>
        <w:t>.  This might include establishing a</w:t>
      </w:r>
      <w:r w:rsidR="00016399" w:rsidRPr="00603326">
        <w:rPr>
          <w:lang w:val="en-US"/>
        </w:rPr>
        <w:t xml:space="preserve"> Single Point of Contact</w:t>
      </w:r>
      <w:r w:rsidR="00B967E2" w:rsidRPr="00603326">
        <w:rPr>
          <w:lang w:val="en-US"/>
        </w:rPr>
        <w:t xml:space="preserve"> </w:t>
      </w:r>
      <w:r w:rsidRPr="00603326">
        <w:rPr>
          <w:lang w:val="en-US"/>
        </w:rPr>
        <w:t xml:space="preserve">that the individual must us to </w:t>
      </w:r>
      <w:r w:rsidR="00B967E2" w:rsidRPr="00603326">
        <w:rPr>
          <w:lang w:val="en-US"/>
        </w:rPr>
        <w:t xml:space="preserve">contact the </w:t>
      </w:r>
      <w:r w:rsidRPr="00603326">
        <w:rPr>
          <w:lang w:val="en-US"/>
        </w:rPr>
        <w:t>ICB</w:t>
      </w:r>
      <w:r w:rsidR="00B967E2" w:rsidRPr="00603326">
        <w:rPr>
          <w:lang w:val="en-US"/>
        </w:rPr>
        <w:t>.</w:t>
      </w:r>
    </w:p>
    <w:p w14:paraId="1146C604" w14:textId="202EC485" w:rsidR="00B967E2" w:rsidRPr="00603326" w:rsidRDefault="00603326" w:rsidP="00412844">
      <w:pPr>
        <w:pStyle w:val="Style2"/>
        <w:numPr>
          <w:ilvl w:val="2"/>
          <w:numId w:val="45"/>
        </w:numPr>
        <w:ind w:left="1080" w:hanging="1080"/>
        <w:rPr>
          <w:lang w:val="en-US"/>
        </w:rPr>
      </w:pPr>
      <w:r>
        <w:rPr>
          <w:lang w:val="en-US"/>
        </w:rPr>
        <w:t>I</w:t>
      </w:r>
      <w:r w:rsidR="006F4997" w:rsidRPr="00603326">
        <w:rPr>
          <w:lang w:val="en-US"/>
        </w:rPr>
        <w:t xml:space="preserve">f the individual refuses to </w:t>
      </w:r>
      <w:r w:rsidR="00B967E2" w:rsidRPr="00603326">
        <w:rPr>
          <w:lang w:val="en-US"/>
        </w:rPr>
        <w:t>agree to</w:t>
      </w:r>
      <w:r w:rsidR="00016399" w:rsidRPr="00603326">
        <w:rPr>
          <w:lang w:val="en-US"/>
        </w:rPr>
        <w:t>,</w:t>
      </w:r>
      <w:r w:rsidR="00B967E2" w:rsidRPr="00603326">
        <w:rPr>
          <w:lang w:val="en-US"/>
        </w:rPr>
        <w:t xml:space="preserve"> </w:t>
      </w:r>
      <w:r w:rsidR="006F4997" w:rsidRPr="00603326">
        <w:rPr>
          <w:lang w:val="en-US"/>
        </w:rPr>
        <w:t>or fails to cooperate with</w:t>
      </w:r>
      <w:r w:rsidR="00016399" w:rsidRPr="00603326">
        <w:rPr>
          <w:lang w:val="en-US"/>
        </w:rPr>
        <w:t>,</w:t>
      </w:r>
      <w:r w:rsidR="006F4997" w:rsidRPr="00603326">
        <w:rPr>
          <w:lang w:val="en-US"/>
        </w:rPr>
        <w:t xml:space="preserve"> the </w:t>
      </w:r>
      <w:bookmarkStart w:id="51" w:name="_Hlk102385202"/>
      <w:r w:rsidR="00016399" w:rsidRPr="00603326">
        <w:rPr>
          <w:lang w:val="en-US"/>
        </w:rPr>
        <w:t xml:space="preserve">measures put in place to manage their behaviour, </w:t>
      </w:r>
      <w:r>
        <w:rPr>
          <w:lang w:val="en-US"/>
        </w:rPr>
        <w:t>the line manager will c</w:t>
      </w:r>
      <w:r w:rsidRPr="00603326">
        <w:rPr>
          <w:lang w:val="en-US"/>
        </w:rPr>
        <w:t xml:space="preserve">onsider further action </w:t>
      </w:r>
      <w:r w:rsidR="00016399" w:rsidRPr="00603326">
        <w:rPr>
          <w:lang w:val="en-US"/>
        </w:rPr>
        <w:t>such as</w:t>
      </w:r>
      <w:bookmarkEnd w:id="51"/>
      <w:r w:rsidR="006F4997" w:rsidRPr="00603326">
        <w:rPr>
          <w:lang w:val="en-US"/>
        </w:rPr>
        <w:t>:</w:t>
      </w:r>
    </w:p>
    <w:p w14:paraId="7CB1FB82" w14:textId="529A5331" w:rsidR="00016399" w:rsidRPr="00603326" w:rsidRDefault="00016399" w:rsidP="00B40E4E">
      <w:pPr>
        <w:pStyle w:val="ListParagraph"/>
        <w:numPr>
          <w:ilvl w:val="0"/>
          <w:numId w:val="33"/>
        </w:numPr>
        <w:rPr>
          <w:lang w:val="en-US"/>
        </w:rPr>
      </w:pPr>
      <w:r w:rsidRPr="00603326">
        <w:rPr>
          <w:lang w:val="en-US"/>
        </w:rPr>
        <w:t>Issuing a warning and/or final warning letter to the individual.</w:t>
      </w:r>
    </w:p>
    <w:p w14:paraId="63273E43" w14:textId="6A96B28F" w:rsidR="00B967E2" w:rsidRPr="00603326" w:rsidRDefault="00016399" w:rsidP="00B40E4E">
      <w:pPr>
        <w:pStyle w:val="ListParagraph"/>
        <w:numPr>
          <w:ilvl w:val="0"/>
          <w:numId w:val="33"/>
        </w:numPr>
        <w:rPr>
          <w:lang w:val="en-US"/>
        </w:rPr>
      </w:pPr>
      <w:r w:rsidRPr="00603326">
        <w:rPr>
          <w:lang w:val="en-US"/>
        </w:rPr>
        <w:t>Implementing procedures to enable in staff to terminate future telephone calls and disregard correspondence from the individual.</w:t>
      </w:r>
    </w:p>
    <w:p w14:paraId="4697A392" w14:textId="0D19CF0A" w:rsidR="00B967E2" w:rsidRDefault="00016399" w:rsidP="00B40E4E">
      <w:pPr>
        <w:pStyle w:val="ListParagraph"/>
        <w:numPr>
          <w:ilvl w:val="0"/>
          <w:numId w:val="33"/>
        </w:numPr>
        <w:rPr>
          <w:lang w:val="en-US"/>
        </w:rPr>
      </w:pPr>
      <w:r w:rsidRPr="00603326">
        <w:rPr>
          <w:lang w:val="en-US"/>
        </w:rPr>
        <w:t xml:space="preserve">Taking </w:t>
      </w:r>
      <w:r w:rsidR="00B967E2" w:rsidRPr="00603326">
        <w:rPr>
          <w:lang w:val="en-US"/>
        </w:rPr>
        <w:t>legal action</w:t>
      </w:r>
      <w:r w:rsidRPr="00603326">
        <w:rPr>
          <w:lang w:val="en-US"/>
        </w:rPr>
        <w:t xml:space="preserve"> against the individual, e.g.</w:t>
      </w:r>
      <w:r w:rsidR="00B967E2" w:rsidRPr="00603326">
        <w:rPr>
          <w:lang w:val="en-US"/>
        </w:rPr>
        <w:t xml:space="preserve"> </w:t>
      </w:r>
      <w:r w:rsidR="00603326">
        <w:rPr>
          <w:lang w:val="en-US"/>
        </w:rPr>
        <w:t xml:space="preserve">an </w:t>
      </w:r>
      <w:r w:rsidR="00B967E2" w:rsidRPr="00603326">
        <w:rPr>
          <w:lang w:val="en-US"/>
        </w:rPr>
        <w:t>injunction.</w:t>
      </w:r>
    </w:p>
    <w:p w14:paraId="4253FB67" w14:textId="77777777" w:rsidR="00603326" w:rsidRDefault="00603326" w:rsidP="00412844">
      <w:pPr>
        <w:pStyle w:val="Heading3"/>
        <w:numPr>
          <w:ilvl w:val="1"/>
          <w:numId w:val="45"/>
        </w:numPr>
        <w:ind w:left="1134" w:hanging="1134"/>
      </w:pPr>
      <w:bookmarkStart w:id="52" w:name="_Toc111190873"/>
      <w:r w:rsidRPr="00BB10F6">
        <w:t>Acknowledgement of Responsibilities</w:t>
      </w:r>
      <w:r>
        <w:t xml:space="preserve"> (ARA)</w:t>
      </w:r>
      <w:bookmarkEnd w:id="52"/>
    </w:p>
    <w:p w14:paraId="2AE06560" w14:textId="25133DD2" w:rsidR="00603326" w:rsidRPr="00603326" w:rsidRDefault="00603326" w:rsidP="00AB6DBD">
      <w:pPr>
        <w:pStyle w:val="Style2"/>
        <w:numPr>
          <w:ilvl w:val="2"/>
          <w:numId w:val="45"/>
        </w:numPr>
        <w:ind w:left="1170" w:hanging="1170"/>
        <w:contextualSpacing w:val="0"/>
      </w:pPr>
      <w:r w:rsidRPr="00603326">
        <w:t xml:space="preserve">ARAs are an option that can be considered to address unacceptable behaviour where verbal warnings have failed, or as an immediate intervention depending on the circumstances. </w:t>
      </w:r>
      <w:r w:rsidR="000E793E">
        <w:t xml:space="preserve">An </w:t>
      </w:r>
      <w:r w:rsidRPr="00603326">
        <w:t>ARA is a written agreement between parties aimed at addressing and preventing the reoccurrence of unacceptable behaviour and can be used as an early intervention process to stop unacceptable behaviour from escalating into more serious violent behaviour.</w:t>
      </w:r>
    </w:p>
    <w:p w14:paraId="7D9DEE3C" w14:textId="0CEE300D" w:rsidR="00603326" w:rsidRPr="00D20026" w:rsidRDefault="00603326" w:rsidP="00AB6DBD">
      <w:pPr>
        <w:pStyle w:val="Style2"/>
        <w:numPr>
          <w:ilvl w:val="2"/>
          <w:numId w:val="45"/>
        </w:numPr>
        <w:ind w:left="1170" w:hanging="1170"/>
        <w:contextualSpacing w:val="0"/>
        <w:rPr>
          <w:rFonts w:eastAsiaTheme="minorEastAsia"/>
        </w:rPr>
      </w:pPr>
      <w:r w:rsidRPr="00D20026">
        <w:rPr>
          <w:rFonts w:eastAsiaTheme="minorEastAsia"/>
        </w:rPr>
        <w:t>The agreement itself should specify a list of acts or behaviours in which an individual (patient, relative or visitor) has been involved in with a view to get agreement and cooperation from them not to continue their inappropriate behaviour. ARAs should last at least for a period of six-months; however, any reasonable period can be specified depending on the nature of the behaviour addressed, with a balance of both general and specific recommendations.</w:t>
      </w:r>
    </w:p>
    <w:p w14:paraId="01CA31DF" w14:textId="7B4C5429" w:rsidR="00603326" w:rsidRPr="00D20026" w:rsidRDefault="00603326" w:rsidP="00AB6DBD">
      <w:pPr>
        <w:pStyle w:val="Style2"/>
        <w:numPr>
          <w:ilvl w:val="2"/>
          <w:numId w:val="45"/>
        </w:numPr>
        <w:ind w:left="1170" w:hanging="1170"/>
        <w:contextualSpacing w:val="0"/>
        <w:rPr>
          <w:rFonts w:eastAsiaTheme="minorEastAsia"/>
        </w:rPr>
      </w:pPr>
      <w:r w:rsidRPr="00D20026">
        <w:rPr>
          <w:rFonts w:eastAsiaTheme="minorEastAsia"/>
        </w:rPr>
        <w:t xml:space="preserve">The terms of the ARA should be outlined formally in a written document for the perpetrator. </w:t>
      </w:r>
    </w:p>
    <w:p w14:paraId="44E7E977" w14:textId="77777777" w:rsidR="00603326" w:rsidRDefault="00603326" w:rsidP="00AB6DBD">
      <w:pPr>
        <w:pStyle w:val="Style2"/>
        <w:numPr>
          <w:ilvl w:val="2"/>
          <w:numId w:val="45"/>
        </w:numPr>
        <w:ind w:left="1170" w:hanging="1170"/>
        <w:contextualSpacing w:val="0"/>
      </w:pPr>
      <w:r>
        <w:t>T</w:t>
      </w:r>
      <w:r w:rsidRPr="00030B00">
        <w:t xml:space="preserve">he </w:t>
      </w:r>
      <w:r>
        <w:t xml:space="preserve">appropriate </w:t>
      </w:r>
      <w:r w:rsidRPr="00030B00">
        <w:t>M</w:t>
      </w:r>
      <w:r>
        <w:t xml:space="preserve">anager, clinician (if applicable) and LSMS </w:t>
      </w:r>
      <w:r w:rsidRPr="00030B00">
        <w:t>should consider:</w:t>
      </w:r>
    </w:p>
    <w:p w14:paraId="0FF44F94" w14:textId="77777777" w:rsidR="00603326" w:rsidRDefault="00603326" w:rsidP="00B40E4E">
      <w:pPr>
        <w:pStyle w:val="ListParagraph"/>
        <w:numPr>
          <w:ilvl w:val="0"/>
          <w:numId w:val="34"/>
        </w:numPr>
      </w:pPr>
      <w:r>
        <w:t xml:space="preserve">The desired outcome. </w:t>
      </w:r>
    </w:p>
    <w:p w14:paraId="2A9DA6FA" w14:textId="77777777" w:rsidR="00603326" w:rsidRDefault="00603326" w:rsidP="00B40E4E">
      <w:pPr>
        <w:pStyle w:val="ListParagraph"/>
        <w:numPr>
          <w:ilvl w:val="0"/>
          <w:numId w:val="34"/>
        </w:numPr>
      </w:pPr>
      <w:r>
        <w:t>A</w:t>
      </w:r>
      <w:r w:rsidRPr="00030B00">
        <w:t>ppropriate conditions of the behavioural agreement.</w:t>
      </w:r>
    </w:p>
    <w:p w14:paraId="23052039" w14:textId="77777777" w:rsidR="00603326" w:rsidRDefault="00603326" w:rsidP="00AB6DBD">
      <w:pPr>
        <w:pStyle w:val="Style2"/>
        <w:numPr>
          <w:ilvl w:val="2"/>
          <w:numId w:val="45"/>
        </w:numPr>
        <w:ind w:left="1170" w:hanging="1170"/>
      </w:pPr>
      <w:r>
        <w:t>T</w:t>
      </w:r>
      <w:r w:rsidRPr="00030B00">
        <w:t>he following issues should be covered:</w:t>
      </w:r>
    </w:p>
    <w:p w14:paraId="16B1E395" w14:textId="7E6A6EB8" w:rsidR="00603326" w:rsidRDefault="00603326" w:rsidP="00B40E4E">
      <w:pPr>
        <w:pStyle w:val="ListParagraph"/>
        <w:numPr>
          <w:ilvl w:val="0"/>
          <w:numId w:val="35"/>
        </w:numPr>
      </w:pPr>
      <w:r>
        <w:t>R</w:t>
      </w:r>
      <w:r w:rsidRPr="00030B00">
        <w:t>eason for agreement</w:t>
      </w:r>
      <w:r w:rsidR="000E793E">
        <w:t>.</w:t>
      </w:r>
    </w:p>
    <w:p w14:paraId="4174796F" w14:textId="662D9A0D" w:rsidR="00603326" w:rsidRDefault="00603326" w:rsidP="00B40E4E">
      <w:pPr>
        <w:pStyle w:val="ListParagraph"/>
        <w:numPr>
          <w:ilvl w:val="0"/>
          <w:numId w:val="35"/>
        </w:numPr>
      </w:pPr>
      <w:r>
        <w:t>A</w:t>
      </w:r>
      <w:r w:rsidRPr="00030B00">
        <w:t>n explanation as to why the identified behaviour is unacceptable</w:t>
      </w:r>
      <w:r w:rsidR="000E793E">
        <w:t>.</w:t>
      </w:r>
    </w:p>
    <w:p w14:paraId="2C637AE8" w14:textId="7007A0EB" w:rsidR="00603326" w:rsidRDefault="00603326" w:rsidP="00B40E4E">
      <w:pPr>
        <w:pStyle w:val="ListParagraph"/>
        <w:numPr>
          <w:ilvl w:val="0"/>
          <w:numId w:val="35"/>
        </w:numPr>
      </w:pPr>
      <w:r>
        <w:t xml:space="preserve">A </w:t>
      </w:r>
      <w:r w:rsidRPr="00030B00">
        <w:t>clear explanation that such behaviour must stop</w:t>
      </w:r>
      <w:r w:rsidR="000E793E">
        <w:t>.</w:t>
      </w:r>
    </w:p>
    <w:p w14:paraId="7F6ED91D" w14:textId="63BF2934" w:rsidR="00603326" w:rsidRDefault="00603326" w:rsidP="00B40E4E">
      <w:pPr>
        <w:pStyle w:val="ListParagraph"/>
        <w:numPr>
          <w:ilvl w:val="0"/>
          <w:numId w:val="35"/>
        </w:numPr>
      </w:pPr>
      <w:r>
        <w:t>T</w:t>
      </w:r>
      <w:r w:rsidRPr="00030B00">
        <w:t>he consequences of continued unacc</w:t>
      </w:r>
      <w:r>
        <w:t>eptable behaviour</w:t>
      </w:r>
      <w:r w:rsidR="000E793E">
        <w:t>.</w:t>
      </w:r>
    </w:p>
    <w:p w14:paraId="32285912" w14:textId="22D4415E" w:rsidR="00603326" w:rsidRPr="00C1618F" w:rsidRDefault="00603326" w:rsidP="00B40E4E">
      <w:pPr>
        <w:pStyle w:val="ListParagraph"/>
        <w:numPr>
          <w:ilvl w:val="0"/>
          <w:numId w:val="35"/>
        </w:numPr>
      </w:pPr>
      <w:r>
        <w:t>D</w:t>
      </w:r>
      <w:r w:rsidRPr="00030B00">
        <w:t>etails of the mechanism for seeking a rev</w:t>
      </w:r>
      <w:r w:rsidRPr="00C1618F">
        <w:t>iew.</w:t>
      </w:r>
    </w:p>
    <w:p w14:paraId="1EB0A068" w14:textId="3EFE2BE7" w:rsidR="00603326" w:rsidRDefault="000E793E" w:rsidP="00AB6DBD">
      <w:pPr>
        <w:pStyle w:val="Style2"/>
        <w:numPr>
          <w:ilvl w:val="2"/>
          <w:numId w:val="45"/>
        </w:numPr>
        <w:ind w:left="1170" w:hanging="1170"/>
        <w:contextualSpacing w:val="0"/>
      </w:pPr>
      <w:r w:rsidRPr="00C1618F">
        <w:t xml:space="preserve">Templates for such letters can be found at </w:t>
      </w:r>
      <w:r w:rsidR="00D75278" w:rsidRPr="004637D3">
        <w:rPr>
          <w:b/>
          <w:bCs/>
        </w:rPr>
        <w:t>A</w:t>
      </w:r>
      <w:r w:rsidRPr="004637D3">
        <w:rPr>
          <w:b/>
          <w:bCs/>
        </w:rPr>
        <w:t xml:space="preserve">ppendices C and </w:t>
      </w:r>
      <w:r w:rsidR="000B3081" w:rsidRPr="004637D3">
        <w:rPr>
          <w:b/>
          <w:bCs/>
        </w:rPr>
        <w:t>D</w:t>
      </w:r>
      <w:r w:rsidRPr="00C1618F">
        <w:t xml:space="preserve"> bu</w:t>
      </w:r>
      <w:r w:rsidRPr="00D20026">
        <w:t>t these letters should only be issued where it is agreed that is appropriate to do so.</w:t>
      </w:r>
      <w:r>
        <w:t xml:space="preserve">  </w:t>
      </w:r>
      <w:r w:rsidRPr="00D20026">
        <w:t>Th</w:t>
      </w:r>
      <w:r>
        <w:t>e</w:t>
      </w:r>
      <w:r w:rsidRPr="00D20026">
        <w:t xml:space="preserve"> template</w:t>
      </w:r>
      <w:r>
        <w:t>s</w:t>
      </w:r>
      <w:r w:rsidRPr="00D20026">
        <w:t xml:space="preserve"> can be adapted to suit local needs. The terms of the agreement must be written in a manner which can be easily understood by the individual concerned. If the</w:t>
      </w:r>
      <w:r>
        <w:t xml:space="preserve"> perpetrator </w:t>
      </w:r>
      <w:r w:rsidRPr="00D20026">
        <w:t>sign</w:t>
      </w:r>
      <w:r>
        <w:t xml:space="preserve">s and his/her </w:t>
      </w:r>
      <w:r w:rsidRPr="00D20026">
        <w:t>unacceptable behaviour ceases, it may be appropriate to acknowledge this in a letter to the perpetrator, thereby encouraging continued good behaviour.</w:t>
      </w:r>
    </w:p>
    <w:p w14:paraId="27A47EDE" w14:textId="00A1DD2D" w:rsidR="00D75278" w:rsidRPr="00603326" w:rsidRDefault="00D75278" w:rsidP="00AB6DBD">
      <w:pPr>
        <w:pStyle w:val="Style2"/>
        <w:numPr>
          <w:ilvl w:val="2"/>
          <w:numId w:val="45"/>
        </w:numPr>
        <w:ind w:left="1170" w:hanging="1170"/>
        <w:contextualSpacing w:val="0"/>
      </w:pPr>
      <w:r>
        <w:t xml:space="preserve">It is recommended that ARA letters are sent by recorded delivery to </w:t>
      </w:r>
      <w:r w:rsidR="00FF566C">
        <w:t>provide</w:t>
      </w:r>
      <w:r>
        <w:t xml:space="preserve"> evidence of</w:t>
      </w:r>
      <w:r w:rsidR="00FF566C">
        <w:t xml:space="preserve"> posting and</w:t>
      </w:r>
      <w:r>
        <w:t xml:space="preserve"> receipt. </w:t>
      </w:r>
    </w:p>
    <w:p w14:paraId="4546FFFF" w14:textId="34FF1586" w:rsidR="00603326" w:rsidRDefault="00603326" w:rsidP="00AB6DBD">
      <w:pPr>
        <w:pStyle w:val="Heading3"/>
        <w:numPr>
          <w:ilvl w:val="1"/>
          <w:numId w:val="45"/>
        </w:numPr>
        <w:ind w:left="1134" w:hanging="1134"/>
        <w:rPr>
          <w:rFonts w:eastAsia="Times New Roman"/>
          <w:lang w:val="en-US"/>
        </w:rPr>
      </w:pPr>
      <w:bookmarkStart w:id="53" w:name="_Toc111190874"/>
      <w:r>
        <w:rPr>
          <w:rFonts w:eastAsia="Times New Roman"/>
          <w:lang w:val="en-US"/>
        </w:rPr>
        <w:t>Information Sharing</w:t>
      </w:r>
      <w:bookmarkEnd w:id="53"/>
    </w:p>
    <w:p w14:paraId="54C6B4E3" w14:textId="34A34F35" w:rsidR="00603326" w:rsidRPr="00603326" w:rsidRDefault="00603326" w:rsidP="00AB6DBD">
      <w:pPr>
        <w:pStyle w:val="Style2"/>
        <w:numPr>
          <w:ilvl w:val="2"/>
          <w:numId w:val="45"/>
        </w:numPr>
        <w:ind w:left="1170" w:hanging="1170"/>
        <w:contextualSpacing w:val="0"/>
        <w:rPr>
          <w:lang w:val="en-US"/>
        </w:rPr>
      </w:pPr>
      <w:r w:rsidRPr="00603326">
        <w:rPr>
          <w:lang w:val="en-US"/>
        </w:rPr>
        <w:t xml:space="preserve">Wherever possible and legally permissible, the ICB will share information on addresses and associated individuals externally, within the health, social care, and other public sectors where a risk is identified in accordance with </w:t>
      </w:r>
      <w:r w:rsidR="00FF566C">
        <w:rPr>
          <w:lang w:val="en-US"/>
        </w:rPr>
        <w:t xml:space="preserve">the </w:t>
      </w:r>
      <w:hyperlink r:id="rId11" w:history="1">
        <w:r w:rsidR="00FF566C" w:rsidRPr="009047A7">
          <w:rPr>
            <w:rStyle w:val="Hyperlink"/>
            <w:lang w:val="en-US"/>
          </w:rPr>
          <w:t>Information Sharing Policy</w:t>
        </w:r>
      </w:hyperlink>
      <w:r w:rsidR="00FF566C">
        <w:rPr>
          <w:lang w:val="en-US"/>
        </w:rPr>
        <w:t xml:space="preserve"> and </w:t>
      </w:r>
      <w:r w:rsidRPr="00603326">
        <w:rPr>
          <w:lang w:val="en-US"/>
        </w:rPr>
        <w:t xml:space="preserve">agreed protocols.  This will include social care services, and other providers of NHS care where applicable.  </w:t>
      </w:r>
    </w:p>
    <w:p w14:paraId="38E97E10" w14:textId="7B5FD0BD" w:rsidR="00603326" w:rsidRPr="00603326" w:rsidRDefault="00603326" w:rsidP="00AB6DBD">
      <w:pPr>
        <w:pStyle w:val="Style2"/>
        <w:numPr>
          <w:ilvl w:val="2"/>
          <w:numId w:val="45"/>
        </w:numPr>
        <w:ind w:left="1170" w:hanging="1170"/>
        <w:rPr>
          <w:lang w:val="en-US"/>
        </w:rPr>
      </w:pPr>
      <w:r w:rsidRPr="00603326">
        <w:rPr>
          <w:lang w:val="en-US"/>
        </w:rPr>
        <w:t xml:space="preserve">Communication will also be facilitated through the existing participation in crime and disorder partnerships, community groups and other healthcare organisation forums, and liaison with the </w:t>
      </w:r>
      <w:r w:rsidR="00FF566C">
        <w:rPr>
          <w:lang w:val="en-US"/>
        </w:rPr>
        <w:t>p</w:t>
      </w:r>
      <w:r w:rsidRPr="00603326">
        <w:rPr>
          <w:lang w:val="en-US"/>
        </w:rPr>
        <w:t>olice.</w:t>
      </w:r>
    </w:p>
    <w:p w14:paraId="38D6A5E2" w14:textId="10CAE1DA" w:rsidR="00F913CD" w:rsidRPr="0015255F" w:rsidRDefault="00F913CD" w:rsidP="00361765">
      <w:pPr>
        <w:pStyle w:val="Heading2"/>
        <w:numPr>
          <w:ilvl w:val="0"/>
          <w:numId w:val="45"/>
        </w:numPr>
        <w:ind w:left="1170" w:hanging="1170"/>
      </w:pPr>
      <w:bookmarkStart w:id="54" w:name="_Toc84611059"/>
      <w:bookmarkStart w:id="55" w:name="_Toc89326549"/>
      <w:bookmarkStart w:id="56" w:name="_Toc96254011"/>
      <w:bookmarkStart w:id="57" w:name="_Toc111190875"/>
      <w:r w:rsidRPr="0015255F">
        <w:t xml:space="preserve">Monitoring </w:t>
      </w:r>
      <w:r w:rsidRPr="006B3E9C">
        <w:t>Compliance</w:t>
      </w:r>
      <w:bookmarkEnd w:id="54"/>
      <w:bookmarkEnd w:id="55"/>
      <w:bookmarkEnd w:id="56"/>
      <w:bookmarkEnd w:id="57"/>
    </w:p>
    <w:p w14:paraId="286C7A85" w14:textId="0B861642" w:rsidR="00126ED8" w:rsidRPr="00126ED8" w:rsidRDefault="000E793E" w:rsidP="00361765">
      <w:pPr>
        <w:pStyle w:val="Style1"/>
        <w:numPr>
          <w:ilvl w:val="1"/>
          <w:numId w:val="48"/>
        </w:numPr>
        <w:ind w:left="1170" w:hanging="1170"/>
      </w:pPr>
      <w:bookmarkStart w:id="58" w:name="_Toc84611060"/>
      <w:bookmarkStart w:id="59" w:name="_Toc89326550"/>
      <w:r w:rsidRPr="000E793E">
        <w:t xml:space="preserve">The </w:t>
      </w:r>
      <w:r w:rsidRPr="00C1618F">
        <w:t>Director of Resources is re</w:t>
      </w:r>
      <w:r w:rsidRPr="000E793E">
        <w:t>sponsible for monitoring</w:t>
      </w:r>
      <w:r>
        <w:t xml:space="preserve"> compliance with this policy</w:t>
      </w:r>
      <w:r w:rsidR="00FD046D">
        <w:t xml:space="preserve">, including </w:t>
      </w:r>
      <w:r w:rsidR="00FD046D" w:rsidRPr="000E793E">
        <w:rPr>
          <w:rFonts w:eastAsiaTheme="minorHAnsi"/>
        </w:rPr>
        <w:t>ensur</w:t>
      </w:r>
      <w:r w:rsidR="00FD046D">
        <w:rPr>
          <w:rFonts w:eastAsiaTheme="minorHAnsi"/>
        </w:rPr>
        <w:t>ing</w:t>
      </w:r>
      <w:r w:rsidR="00FD046D" w:rsidRPr="000E793E">
        <w:rPr>
          <w:rFonts w:eastAsiaTheme="minorHAnsi"/>
        </w:rPr>
        <w:t xml:space="preserve"> that all staff whose work brings them into direct contact with</w:t>
      </w:r>
      <w:r w:rsidR="00FD046D">
        <w:rPr>
          <w:rFonts w:eastAsiaTheme="minorHAnsi"/>
        </w:rPr>
        <w:t xml:space="preserve"> patients and </w:t>
      </w:r>
      <w:r w:rsidR="00FD046D" w:rsidRPr="000E793E">
        <w:rPr>
          <w:rFonts w:eastAsiaTheme="minorHAnsi"/>
        </w:rPr>
        <w:t>members of the public are risk-assessed in relation to violence and aggression</w:t>
      </w:r>
      <w:r w:rsidR="005568E4">
        <w:rPr>
          <w:rFonts w:eastAsiaTheme="minorHAnsi"/>
        </w:rPr>
        <w:t>.</w:t>
      </w:r>
    </w:p>
    <w:p w14:paraId="03671137" w14:textId="50B7F17B" w:rsidR="00F913CD" w:rsidRPr="0015255F" w:rsidRDefault="00F913CD" w:rsidP="00361765">
      <w:pPr>
        <w:pStyle w:val="Heading2"/>
        <w:numPr>
          <w:ilvl w:val="0"/>
          <w:numId w:val="48"/>
        </w:numPr>
        <w:ind w:left="1170" w:hanging="1170"/>
      </w:pPr>
      <w:bookmarkStart w:id="60" w:name="_Toc96254012"/>
      <w:bookmarkStart w:id="61" w:name="_Toc111190876"/>
      <w:r w:rsidRPr="0015255F">
        <w:t xml:space="preserve">Staff </w:t>
      </w:r>
      <w:r w:rsidRPr="006B3E9C">
        <w:t>Training</w:t>
      </w:r>
      <w:bookmarkEnd w:id="58"/>
      <w:bookmarkEnd w:id="59"/>
      <w:bookmarkEnd w:id="60"/>
      <w:bookmarkEnd w:id="61"/>
    </w:p>
    <w:p w14:paraId="4E712F00" w14:textId="61F22F1D" w:rsidR="000E793E" w:rsidRPr="000E793E" w:rsidRDefault="000E793E" w:rsidP="00361765">
      <w:pPr>
        <w:pStyle w:val="Style1"/>
        <w:numPr>
          <w:ilvl w:val="1"/>
          <w:numId w:val="48"/>
        </w:numPr>
        <w:ind w:left="1134" w:hanging="1134"/>
        <w:rPr>
          <w:rFonts w:eastAsiaTheme="minorHAnsi"/>
        </w:rPr>
      </w:pPr>
      <w:bookmarkStart w:id="62" w:name="_Toc84611061"/>
      <w:bookmarkStart w:id="63" w:name="_Toc89326551"/>
      <w:bookmarkStart w:id="64" w:name="_Toc96254013"/>
      <w:r w:rsidRPr="000E793E">
        <w:rPr>
          <w:rFonts w:eastAsiaTheme="minorHAnsi"/>
        </w:rPr>
        <w:t>Conflict Resolution training</w:t>
      </w:r>
      <w:r w:rsidR="000B3081">
        <w:rPr>
          <w:rFonts w:eastAsiaTheme="minorHAnsi"/>
        </w:rPr>
        <w:t xml:space="preserve">, including </w:t>
      </w:r>
      <w:r w:rsidR="00B067B3">
        <w:rPr>
          <w:rFonts w:eastAsiaTheme="minorHAnsi"/>
        </w:rPr>
        <w:t>regular refresher</w:t>
      </w:r>
      <w:r w:rsidR="000B3081">
        <w:rPr>
          <w:rFonts w:eastAsiaTheme="minorHAnsi"/>
        </w:rPr>
        <w:t xml:space="preserve"> training, </w:t>
      </w:r>
      <w:r>
        <w:rPr>
          <w:rFonts w:eastAsiaTheme="minorHAnsi"/>
        </w:rPr>
        <w:t xml:space="preserve">will be offered to </w:t>
      </w:r>
      <w:r w:rsidRPr="000E793E">
        <w:rPr>
          <w:rFonts w:eastAsiaTheme="minorHAnsi"/>
        </w:rPr>
        <w:t xml:space="preserve">staff </w:t>
      </w:r>
      <w:r>
        <w:rPr>
          <w:rFonts w:eastAsiaTheme="minorHAnsi"/>
        </w:rPr>
        <w:t xml:space="preserve">with </w:t>
      </w:r>
      <w:r w:rsidR="00FD046D">
        <w:rPr>
          <w:rFonts w:eastAsiaTheme="minorHAnsi"/>
        </w:rPr>
        <w:t xml:space="preserve">direct </w:t>
      </w:r>
      <w:r>
        <w:rPr>
          <w:rFonts w:eastAsiaTheme="minorHAnsi"/>
        </w:rPr>
        <w:t xml:space="preserve">contact with patients and members of the public to provide them </w:t>
      </w:r>
      <w:r w:rsidRPr="000E793E">
        <w:rPr>
          <w:rFonts w:eastAsiaTheme="minorHAnsi"/>
        </w:rPr>
        <w:t xml:space="preserve">with </w:t>
      </w:r>
      <w:r w:rsidR="00FD046D">
        <w:rPr>
          <w:rFonts w:eastAsiaTheme="minorHAnsi"/>
        </w:rPr>
        <w:t>the</w:t>
      </w:r>
      <w:r w:rsidRPr="000E793E">
        <w:rPr>
          <w:rFonts w:eastAsiaTheme="minorHAnsi"/>
        </w:rPr>
        <w:t xml:space="preserve"> </w:t>
      </w:r>
      <w:r w:rsidR="00FD046D">
        <w:rPr>
          <w:rFonts w:eastAsiaTheme="minorHAnsi"/>
        </w:rPr>
        <w:t xml:space="preserve">relevant </w:t>
      </w:r>
      <w:r w:rsidRPr="000E793E">
        <w:rPr>
          <w:rFonts w:eastAsiaTheme="minorHAnsi"/>
        </w:rPr>
        <w:t xml:space="preserve">de-escalation, communication and calming skills to help prevent and manage </w:t>
      </w:r>
      <w:r>
        <w:rPr>
          <w:rFonts w:eastAsiaTheme="minorHAnsi"/>
        </w:rPr>
        <w:t xml:space="preserve">potentially </w:t>
      </w:r>
      <w:r w:rsidRPr="000E793E">
        <w:rPr>
          <w:rFonts w:eastAsiaTheme="minorHAnsi"/>
        </w:rPr>
        <w:t xml:space="preserve">violent </w:t>
      </w:r>
      <w:r>
        <w:rPr>
          <w:rFonts w:eastAsiaTheme="minorHAnsi"/>
        </w:rPr>
        <w:t xml:space="preserve">and aggressive </w:t>
      </w:r>
      <w:r w:rsidRPr="000E793E">
        <w:rPr>
          <w:rFonts w:eastAsiaTheme="minorHAnsi"/>
        </w:rPr>
        <w:t xml:space="preserve">situations. </w:t>
      </w:r>
    </w:p>
    <w:p w14:paraId="7DF6B752" w14:textId="04110CF3" w:rsidR="00F913CD" w:rsidRPr="0015255F" w:rsidRDefault="00361765" w:rsidP="00361765">
      <w:pPr>
        <w:pStyle w:val="Heading2"/>
        <w:numPr>
          <w:ilvl w:val="0"/>
          <w:numId w:val="48"/>
        </w:numPr>
        <w:tabs>
          <w:tab w:val="left" w:pos="1170"/>
        </w:tabs>
      </w:pPr>
      <w:r>
        <w:tab/>
      </w:r>
      <w:bookmarkStart w:id="65" w:name="_Toc111190877"/>
      <w:r w:rsidR="00F913CD" w:rsidRPr="0015255F">
        <w:t xml:space="preserve">Arrangements </w:t>
      </w:r>
      <w:r w:rsidR="008A5783">
        <w:t>f</w:t>
      </w:r>
      <w:r w:rsidR="00F913CD" w:rsidRPr="0015255F">
        <w:t>or Review</w:t>
      </w:r>
      <w:bookmarkEnd w:id="62"/>
      <w:bookmarkEnd w:id="63"/>
      <w:bookmarkEnd w:id="64"/>
      <w:bookmarkEnd w:id="65"/>
    </w:p>
    <w:p w14:paraId="7CE3CD4E" w14:textId="77777777" w:rsidR="00F913CD" w:rsidRPr="0015255F" w:rsidRDefault="00F913CD" w:rsidP="00361765">
      <w:pPr>
        <w:pStyle w:val="Style1"/>
        <w:numPr>
          <w:ilvl w:val="1"/>
          <w:numId w:val="48"/>
        </w:numPr>
        <w:ind w:left="1134" w:hanging="1134"/>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0E8A147" w:rsidR="00F913CD" w:rsidRPr="0015255F" w:rsidRDefault="00F913CD" w:rsidP="00361765">
      <w:pPr>
        <w:pStyle w:val="Style1"/>
        <w:numPr>
          <w:ilvl w:val="1"/>
          <w:numId w:val="48"/>
        </w:numPr>
        <w:ind w:left="1134" w:hanging="1134"/>
      </w:pPr>
      <w:r w:rsidRPr="0015255F">
        <w:t xml:space="preserve">If only minor changes are required, the sponsoring Committee has authority to make these changes without referral to the </w:t>
      </w:r>
      <w:r w:rsidR="008A5783">
        <w:t xml:space="preserve">ICB </w:t>
      </w:r>
      <w:r w:rsidRPr="0015255F">
        <w:t xml:space="preserve">Board. If more significant or substantial changes are required, the policy will need to be ratified by the relevant committee before final approval by the </w:t>
      </w:r>
      <w:r w:rsidR="008A5783">
        <w:t xml:space="preserve">ICB </w:t>
      </w:r>
      <w:r w:rsidRPr="0015255F">
        <w:t>Board.</w:t>
      </w:r>
      <w:bookmarkStart w:id="66" w:name="_Toc84611062"/>
    </w:p>
    <w:p w14:paraId="4D2967FC" w14:textId="3C202397" w:rsidR="00F913CD" w:rsidRPr="0015255F" w:rsidRDefault="00F913CD" w:rsidP="00361765">
      <w:pPr>
        <w:pStyle w:val="Heading2"/>
        <w:numPr>
          <w:ilvl w:val="0"/>
          <w:numId w:val="48"/>
        </w:numPr>
        <w:ind w:left="1080" w:hanging="1080"/>
      </w:pPr>
      <w:bookmarkStart w:id="67" w:name="_Toc89326552"/>
      <w:bookmarkStart w:id="68" w:name="_Toc96254014"/>
      <w:bookmarkStart w:id="69" w:name="_Toc111190878"/>
      <w:bookmarkEnd w:id="66"/>
      <w:r w:rsidRPr="0015255F">
        <w:t xml:space="preserve">Associated Policies, Guidance </w:t>
      </w:r>
      <w:r w:rsidR="00A12F26">
        <w:t>a</w:t>
      </w:r>
      <w:r w:rsidRPr="0015255F">
        <w:t>nd Documents</w:t>
      </w:r>
      <w:bookmarkEnd w:id="67"/>
      <w:bookmarkEnd w:id="68"/>
      <w:bookmarkEnd w:id="69"/>
    </w:p>
    <w:p w14:paraId="413BAE37" w14:textId="0F4B5330" w:rsidR="00126ED8" w:rsidRPr="00126ED8" w:rsidRDefault="009047A7" w:rsidP="00126ED8">
      <w:pPr>
        <w:rPr>
          <w:b/>
          <w:bCs/>
        </w:rPr>
      </w:pPr>
      <w:hyperlink r:id="rId12" w:history="1">
        <w:r w:rsidR="00126ED8" w:rsidRPr="009047A7">
          <w:rPr>
            <w:rStyle w:val="Hyperlink"/>
            <w:b/>
            <w:bCs/>
          </w:rPr>
          <w:t>Associated Policies</w:t>
        </w:r>
      </w:hyperlink>
    </w:p>
    <w:p w14:paraId="29974F3F" w14:textId="7A87A2A9" w:rsidR="00126ED8" w:rsidRDefault="00066E4A" w:rsidP="00B40E4E">
      <w:pPr>
        <w:pStyle w:val="ListParagraph"/>
        <w:numPr>
          <w:ilvl w:val="0"/>
          <w:numId w:val="37"/>
        </w:numPr>
      </w:pPr>
      <w:r>
        <w:t>Dignity at Work Policy</w:t>
      </w:r>
      <w:r w:rsidR="005568E4">
        <w:t>.</w:t>
      </w:r>
    </w:p>
    <w:p w14:paraId="0956A5C1" w14:textId="01C949B1" w:rsidR="000B3081" w:rsidRDefault="000B3081" w:rsidP="00076506">
      <w:pPr>
        <w:pStyle w:val="ListParagraph"/>
        <w:numPr>
          <w:ilvl w:val="0"/>
          <w:numId w:val="37"/>
        </w:numPr>
      </w:pPr>
      <w:r>
        <w:t>Health and Safety Policy</w:t>
      </w:r>
    </w:p>
    <w:p w14:paraId="7C469861" w14:textId="36B2EDB9" w:rsidR="00076506" w:rsidRDefault="00076506" w:rsidP="00076506">
      <w:pPr>
        <w:pStyle w:val="ListParagraph"/>
        <w:numPr>
          <w:ilvl w:val="0"/>
          <w:numId w:val="37"/>
        </w:numPr>
      </w:pPr>
      <w:r>
        <w:t>Incident Reporting Policy</w:t>
      </w:r>
    </w:p>
    <w:p w14:paraId="224B1858" w14:textId="01755E78" w:rsidR="00FF566C" w:rsidRDefault="00FF566C" w:rsidP="00B40E4E">
      <w:pPr>
        <w:pStyle w:val="ListParagraph"/>
        <w:numPr>
          <w:ilvl w:val="0"/>
          <w:numId w:val="37"/>
        </w:numPr>
      </w:pPr>
      <w:r>
        <w:t xml:space="preserve">Information Sharing Policy </w:t>
      </w:r>
    </w:p>
    <w:p w14:paraId="40783863" w14:textId="1FCD4E8C" w:rsidR="00514738" w:rsidRDefault="00514738" w:rsidP="00B40E4E">
      <w:pPr>
        <w:pStyle w:val="ListParagraph"/>
        <w:numPr>
          <w:ilvl w:val="0"/>
          <w:numId w:val="37"/>
        </w:numPr>
      </w:pPr>
      <w:r>
        <w:t xml:space="preserve">Lone Working Policy </w:t>
      </w:r>
    </w:p>
    <w:p w14:paraId="1CE573F2" w14:textId="7C62A7B4" w:rsidR="00076506" w:rsidRDefault="00076506" w:rsidP="00B40E4E">
      <w:pPr>
        <w:pStyle w:val="ListParagraph"/>
        <w:numPr>
          <w:ilvl w:val="0"/>
          <w:numId w:val="37"/>
        </w:numPr>
      </w:pPr>
      <w:r>
        <w:t xml:space="preserve">Risk Management Policy </w:t>
      </w:r>
    </w:p>
    <w:p w14:paraId="6FC89634" w14:textId="09CEC99C" w:rsidR="000B3081" w:rsidRDefault="000B3081" w:rsidP="00B40E4E">
      <w:pPr>
        <w:pStyle w:val="ListParagraph"/>
        <w:numPr>
          <w:ilvl w:val="0"/>
          <w:numId w:val="37"/>
        </w:numPr>
      </w:pPr>
      <w:r>
        <w:t>Complaints, Compliments and Concerns Management Policy</w:t>
      </w:r>
    </w:p>
    <w:p w14:paraId="3E1400AB" w14:textId="7786D9D2" w:rsidR="00066E4A" w:rsidRPr="00066E4A" w:rsidRDefault="00066E4A" w:rsidP="00066E4A">
      <w:pPr>
        <w:rPr>
          <w:rStyle w:val="Hyperlink"/>
          <w:b/>
          <w:bCs/>
          <w:color w:val="231F20" w:themeColor="text1"/>
          <w:u w:val="none"/>
        </w:rPr>
      </w:pPr>
      <w:r w:rsidRPr="00066E4A">
        <w:rPr>
          <w:b/>
          <w:bCs/>
        </w:rPr>
        <w:t xml:space="preserve">Associated Guidance </w:t>
      </w:r>
    </w:p>
    <w:p w14:paraId="2E01191F" w14:textId="49D32F14" w:rsidR="00066E4A" w:rsidRPr="00066E4A" w:rsidRDefault="00066E4A" w:rsidP="00B40E4E">
      <w:pPr>
        <w:pStyle w:val="ListParagraph"/>
        <w:numPr>
          <w:ilvl w:val="0"/>
          <w:numId w:val="36"/>
        </w:numPr>
        <w:rPr>
          <w:rStyle w:val="Hyperlink"/>
          <w:rFonts w:cs="Arial"/>
          <w:bCs/>
          <w:color w:val="auto"/>
        </w:rPr>
      </w:pPr>
      <w:r w:rsidRPr="005C094C">
        <w:t xml:space="preserve">NHS England and NHS Improvement. (2020) Violence, Prevention and Reduction Standard. Available at: </w:t>
      </w:r>
      <w:hyperlink r:id="rId13" w:history="1">
        <w:r w:rsidRPr="00066E4A">
          <w:rPr>
            <w:rStyle w:val="Hyperlink"/>
            <w:rFonts w:cs="Arial"/>
            <w:bCs/>
            <w:iCs/>
          </w:rPr>
          <w:t>https://www.england.nhs.uk/wp-content/uploads/2020/12/B0319-Violence-Prevention-Reduction-Standards.pdf</w:t>
        </w:r>
      </w:hyperlink>
      <w:r>
        <w:rPr>
          <w:rStyle w:val="Hyperlink"/>
          <w:rFonts w:cs="Arial"/>
          <w:bCs/>
          <w:iCs/>
        </w:rPr>
        <w:t>.</w:t>
      </w:r>
    </w:p>
    <w:p w14:paraId="1BB4BC5B" w14:textId="4AA8D3D3" w:rsidR="00066E4A" w:rsidRPr="005C094C" w:rsidRDefault="00066E4A" w:rsidP="00B40E4E">
      <w:pPr>
        <w:pStyle w:val="ListParagraph"/>
        <w:numPr>
          <w:ilvl w:val="0"/>
          <w:numId w:val="36"/>
        </w:numPr>
      </w:pPr>
      <w:r w:rsidRPr="005C094C">
        <w:t xml:space="preserve">Royal College of Nursing. (2016) Personal safety when working alone: guidance for members working in health and social care. Available at: </w:t>
      </w:r>
      <w:hyperlink r:id="rId14" w:history="1">
        <w:r w:rsidRPr="00066E4A">
          <w:rPr>
            <w:rStyle w:val="Hyperlink"/>
            <w:rFonts w:cs="Arial"/>
            <w:bCs/>
          </w:rPr>
          <w:t>https://www.rcn.org.uk/professional-development/publications/pub-005716</w:t>
        </w:r>
      </w:hyperlink>
      <w:r>
        <w:t>.</w:t>
      </w:r>
    </w:p>
    <w:p w14:paraId="77A04E52" w14:textId="39105610" w:rsidR="00066E4A" w:rsidRPr="00066E4A" w:rsidRDefault="00066E4A" w:rsidP="00B40E4E">
      <w:pPr>
        <w:pStyle w:val="ListParagraph"/>
        <w:numPr>
          <w:ilvl w:val="0"/>
          <w:numId w:val="36"/>
        </w:numPr>
      </w:pPr>
      <w:r w:rsidRPr="005C094C">
        <w:t xml:space="preserve">Royal College of Nursing. (2021) Prioritising personal safety.  Available at: </w:t>
      </w:r>
      <w:hyperlink r:id="rId15" w:history="1">
        <w:r w:rsidRPr="00066E4A">
          <w:rPr>
            <w:rStyle w:val="Hyperlink"/>
            <w:rFonts w:cs="Arial"/>
            <w:bCs/>
          </w:rPr>
          <w:t>https://www.rcn.org.uk/get-help/rcn-advice/prioritising-personal-safety</w:t>
        </w:r>
      </w:hyperlink>
      <w:r>
        <w:t>.</w:t>
      </w:r>
    </w:p>
    <w:p w14:paraId="5BE98E75" w14:textId="38CBB351" w:rsidR="00066E4A" w:rsidRDefault="00066E4A" w:rsidP="00B40E4E">
      <w:pPr>
        <w:pStyle w:val="ListParagraph"/>
        <w:numPr>
          <w:ilvl w:val="0"/>
          <w:numId w:val="36"/>
        </w:numPr>
      </w:pPr>
      <w:r w:rsidRPr="004D7504">
        <w:t>Challenging behaviour and learning disabilities: prevention and interventions for people with learning disabilities whose behaviour challenges (nice.org.uk)</w:t>
      </w:r>
      <w:r>
        <w:t>.</w:t>
      </w:r>
    </w:p>
    <w:p w14:paraId="0389C6C3" w14:textId="79280E29" w:rsidR="00066E4A" w:rsidRDefault="00066E4A" w:rsidP="00361765">
      <w:pPr>
        <w:pStyle w:val="Heading2"/>
        <w:numPr>
          <w:ilvl w:val="0"/>
          <w:numId w:val="48"/>
        </w:numPr>
        <w:ind w:left="1170" w:hanging="1170"/>
      </w:pPr>
      <w:bookmarkStart w:id="70" w:name="_Toc89326553"/>
      <w:bookmarkStart w:id="71" w:name="_Toc96254015"/>
      <w:bookmarkStart w:id="72" w:name="_Toc111190879"/>
      <w:r w:rsidRPr="0015255F">
        <w:t>References</w:t>
      </w:r>
      <w:bookmarkEnd w:id="70"/>
      <w:bookmarkEnd w:id="71"/>
      <w:bookmarkEnd w:id="72"/>
    </w:p>
    <w:p w14:paraId="579AE601" w14:textId="1D341008" w:rsidR="00066E4A" w:rsidRDefault="00066E4A" w:rsidP="00B40E4E">
      <w:pPr>
        <w:pStyle w:val="ListParagraph"/>
        <w:numPr>
          <w:ilvl w:val="0"/>
          <w:numId w:val="38"/>
        </w:numPr>
      </w:pPr>
      <w:r w:rsidRPr="005C094C">
        <w:t xml:space="preserve">Health and Safety at Work Act 1974. Available at: </w:t>
      </w:r>
      <w:hyperlink r:id="rId16" w:history="1">
        <w:r w:rsidRPr="00066E4A">
          <w:rPr>
            <w:rStyle w:val="Hyperlink"/>
            <w:rFonts w:cs="Arial"/>
            <w:bCs/>
          </w:rPr>
          <w:t>https://www.legislation.gov.uk/ukpga/1974/37/contents</w:t>
        </w:r>
      </w:hyperlink>
      <w:r>
        <w:t>.</w:t>
      </w:r>
    </w:p>
    <w:p w14:paraId="4606A6E3" w14:textId="2ABB2B6E" w:rsidR="00066E4A" w:rsidRPr="005C094C" w:rsidRDefault="00066E4A" w:rsidP="00B40E4E">
      <w:pPr>
        <w:pStyle w:val="ListParagraph"/>
        <w:numPr>
          <w:ilvl w:val="0"/>
          <w:numId w:val="38"/>
        </w:numPr>
      </w:pPr>
      <w:r>
        <w:t>H</w:t>
      </w:r>
      <w:r w:rsidRPr="005C094C">
        <w:t xml:space="preserve">ealth and Safety Executive. (2020). INDG73(rev4). Protecting lone workers: how to manage the risks of working alone. Available at: </w:t>
      </w:r>
      <w:hyperlink r:id="rId17" w:history="1">
        <w:r w:rsidRPr="00066E4A">
          <w:rPr>
            <w:rStyle w:val="Hyperlink"/>
            <w:rFonts w:cs="Arial"/>
            <w:bCs/>
          </w:rPr>
          <w:t>https://www.hse.gov.uk/pubns/indg73.pdf</w:t>
        </w:r>
      </w:hyperlink>
      <w:r>
        <w:t>.</w:t>
      </w:r>
    </w:p>
    <w:p w14:paraId="30B0BD4A" w14:textId="1FADDD9F" w:rsidR="00066E4A" w:rsidRPr="005C094C" w:rsidRDefault="00066E4A" w:rsidP="00B40E4E">
      <w:pPr>
        <w:pStyle w:val="ListParagraph"/>
        <w:numPr>
          <w:ilvl w:val="0"/>
          <w:numId w:val="38"/>
        </w:numPr>
      </w:pPr>
      <w:r w:rsidRPr="005C094C">
        <w:t xml:space="preserve">Health and Safety Executive. (2013) RIDDOR - Reporting of Injuries, Diseases and Dangerous Occurrences Regulations 2013.  Available at: </w:t>
      </w:r>
      <w:hyperlink r:id="rId18" w:history="1">
        <w:r w:rsidRPr="00066E4A">
          <w:rPr>
            <w:rStyle w:val="Hyperlink"/>
            <w:rFonts w:cs="Arial"/>
            <w:bCs/>
          </w:rPr>
          <w:t>https://www.hse.gov.uk/riddor/</w:t>
        </w:r>
      </w:hyperlink>
      <w:r>
        <w:t>.</w:t>
      </w:r>
    </w:p>
    <w:p w14:paraId="38B14C6D" w14:textId="2770D295" w:rsidR="00066E4A" w:rsidRPr="005C094C" w:rsidRDefault="00066E4A" w:rsidP="00B40E4E">
      <w:pPr>
        <w:pStyle w:val="ListParagraph"/>
        <w:numPr>
          <w:ilvl w:val="0"/>
          <w:numId w:val="38"/>
        </w:numPr>
      </w:pPr>
      <w:r w:rsidRPr="005C094C">
        <w:t xml:space="preserve">Health and Safety Executive. (2021) Managing risks and risk assessment at work. Available at: </w:t>
      </w:r>
      <w:hyperlink r:id="rId19" w:history="1">
        <w:r w:rsidRPr="00066E4A">
          <w:rPr>
            <w:rStyle w:val="Hyperlink"/>
            <w:rFonts w:cs="Arial"/>
            <w:bCs/>
          </w:rPr>
          <w:t>https://www.hse.gov.uk/simple-health-safety/risk/risk-assessment-template-and-examples.htm</w:t>
        </w:r>
      </w:hyperlink>
      <w:r>
        <w:t>.</w:t>
      </w:r>
    </w:p>
    <w:p w14:paraId="629B608B" w14:textId="19BA7BCD" w:rsidR="00066E4A" w:rsidRPr="001D6A32" w:rsidRDefault="00066E4A" w:rsidP="00B40E4E">
      <w:pPr>
        <w:pStyle w:val="ListParagraph"/>
        <w:numPr>
          <w:ilvl w:val="0"/>
          <w:numId w:val="38"/>
        </w:numPr>
      </w:pPr>
      <w:r w:rsidRPr="001D6A32">
        <w:t>Health Education England. (2021) Core Skills Training Framework</w:t>
      </w:r>
      <w:r>
        <w:t>.</w:t>
      </w:r>
    </w:p>
    <w:p w14:paraId="7DD3A2F0" w14:textId="4AE65E21" w:rsidR="00066E4A" w:rsidRPr="00E151E3" w:rsidRDefault="00066E4A" w:rsidP="00B40E4E">
      <w:pPr>
        <w:pStyle w:val="ListParagraph"/>
        <w:numPr>
          <w:ilvl w:val="0"/>
          <w:numId w:val="38"/>
        </w:numPr>
      </w:pPr>
      <w:r w:rsidRPr="00E151E3">
        <w:t xml:space="preserve">(England) Statutory/Mandatory Subject Guide. Version: CSTF (England) v1.1 Available at: </w:t>
      </w:r>
      <w:hyperlink r:id="rId20" w:history="1">
        <w:r w:rsidRPr="00066E4A">
          <w:rPr>
            <w:rStyle w:val="Hyperlink"/>
            <w:rFonts w:cs="Arial"/>
            <w:bCs/>
          </w:rPr>
          <w:t>https://skillsforhealth.org.uk/wp-content/uploads/2021/07/CSTF-Eng-Subject-Guide-v1.1.pdf</w:t>
        </w:r>
      </w:hyperlink>
      <w:r>
        <w:t>.</w:t>
      </w:r>
    </w:p>
    <w:p w14:paraId="0749B5BB" w14:textId="59A97A41" w:rsidR="00F913CD" w:rsidRPr="0015255F" w:rsidRDefault="00FB5878" w:rsidP="00361765">
      <w:pPr>
        <w:pStyle w:val="Heading2"/>
        <w:numPr>
          <w:ilvl w:val="0"/>
          <w:numId w:val="48"/>
        </w:numPr>
        <w:ind w:left="1170" w:hanging="1170"/>
      </w:pPr>
      <w:bookmarkStart w:id="73" w:name="_Toc89326554"/>
      <w:bookmarkStart w:id="74" w:name="_Toc96254016"/>
      <w:bookmarkStart w:id="75" w:name="_Toc111190880"/>
      <w:r>
        <w:t>Equal</w:t>
      </w:r>
      <w:r w:rsidR="00F913CD" w:rsidRPr="0015255F">
        <w:t>ity Impact Assessment</w:t>
      </w:r>
      <w:bookmarkEnd w:id="73"/>
      <w:bookmarkEnd w:id="74"/>
      <w:bookmarkEnd w:id="75"/>
    </w:p>
    <w:p w14:paraId="31CD75FD" w14:textId="6F736B13" w:rsidR="00F913CD" w:rsidRPr="0015255F" w:rsidRDefault="00FB5878" w:rsidP="00361765">
      <w:pPr>
        <w:pStyle w:val="Style1"/>
        <w:numPr>
          <w:ilvl w:val="1"/>
          <w:numId w:val="46"/>
        </w:numPr>
        <w:ind w:left="1170" w:hanging="1170"/>
      </w:pPr>
      <w:r>
        <w:t xml:space="preserve">An Equality Impact Assessment of this policy has been undertaken and it has </w:t>
      </w:r>
      <w:r w:rsidR="00F913CD" w:rsidRPr="0015255F">
        <w:t xml:space="preserve">identified no equality issues.  </w:t>
      </w:r>
    </w:p>
    <w:p w14:paraId="32344773" w14:textId="77777777" w:rsidR="008344D6" w:rsidRDefault="00F913CD" w:rsidP="00361765">
      <w:pPr>
        <w:pStyle w:val="Style1"/>
        <w:numPr>
          <w:ilvl w:val="1"/>
          <w:numId w:val="46"/>
        </w:numPr>
        <w:ind w:left="1170" w:hanging="1170"/>
      </w:pPr>
      <w:r w:rsidRPr="0015255F">
        <w:t xml:space="preserve">The EIA has been included as </w:t>
      </w:r>
      <w:r w:rsidRPr="004637D3">
        <w:rPr>
          <w:b/>
          <w:bCs/>
        </w:rPr>
        <w:t>Appendix A.</w:t>
      </w:r>
    </w:p>
    <w:p w14:paraId="1AA5C6C5" w14:textId="3C80A7E5" w:rsidR="006606C1" w:rsidRPr="003A663C" w:rsidRDefault="006606C1" w:rsidP="003A663C">
      <w:pPr>
        <w:spacing w:before="0" w:after="0"/>
        <w:ind w:left="0"/>
        <w:rPr>
          <w:rFonts w:asciiTheme="majorHAnsi" w:eastAsiaTheme="majorEastAsia" w:hAnsiTheme="majorHAnsi" w:cstheme="majorBidi"/>
          <w:color w:val="001743" w:themeColor="accent1" w:themeShade="7F"/>
        </w:rPr>
      </w:pPr>
    </w:p>
    <w:p w14:paraId="01596445" w14:textId="77777777" w:rsidR="00C4439D" w:rsidRDefault="00C4439D">
      <w:pPr>
        <w:spacing w:before="0" w:after="0"/>
        <w:ind w:left="0"/>
        <w:rPr>
          <w:rFonts w:asciiTheme="majorHAnsi" w:eastAsiaTheme="majorEastAsia" w:hAnsiTheme="majorHAnsi" w:cstheme="majorBidi"/>
          <w:b/>
          <w:color w:val="005EB8" w:themeColor="accent2"/>
          <w:sz w:val="32"/>
          <w:szCs w:val="26"/>
        </w:rPr>
      </w:pPr>
      <w:bookmarkStart w:id="76" w:name="_Toc419388298"/>
      <w:bookmarkStart w:id="77" w:name="_Toc47357161"/>
      <w:bookmarkStart w:id="78" w:name="_Toc84611065"/>
      <w:bookmarkStart w:id="79" w:name="_Toc89326555"/>
      <w:bookmarkStart w:id="80" w:name="_Toc96254017"/>
      <w:r>
        <w:br w:type="page"/>
      </w:r>
    </w:p>
    <w:p w14:paraId="64C72BB0" w14:textId="271F930F" w:rsidR="006606C1" w:rsidRPr="00FC7C60" w:rsidRDefault="006606C1" w:rsidP="0013779C">
      <w:pPr>
        <w:pStyle w:val="Heading2"/>
        <w:numPr>
          <w:ilvl w:val="0"/>
          <w:numId w:val="0"/>
        </w:numPr>
      </w:pPr>
      <w:bookmarkStart w:id="81" w:name="_Toc111190881"/>
      <w:r w:rsidRPr="006606C1">
        <w:t>Appendix</w:t>
      </w:r>
      <w:r>
        <w:t xml:space="preserve"> A</w:t>
      </w:r>
      <w:bookmarkEnd w:id="76"/>
      <w:bookmarkEnd w:id="77"/>
      <w:bookmarkEnd w:id="78"/>
      <w:bookmarkEnd w:id="79"/>
      <w:r>
        <w:t xml:space="preserve"> </w:t>
      </w:r>
      <w:bookmarkStart w:id="82" w:name="_Toc84611066"/>
      <w:bookmarkStart w:id="83" w:name="_Toc89326556"/>
      <w:r w:rsidR="003A663C">
        <w:t xml:space="preserve">- </w:t>
      </w:r>
      <w:r w:rsidRPr="00FC7C60">
        <w:t>Equality Impact Assessment</w:t>
      </w:r>
      <w:bookmarkEnd w:id="80"/>
      <w:bookmarkEnd w:id="81"/>
      <w:bookmarkEnd w:id="82"/>
      <w:bookmarkEnd w:id="8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84" w:name="_Toc89326557"/>
      <w:bookmarkStart w:id="8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494C18">
        <w:trPr>
          <w:trHeight w:val="885"/>
        </w:trPr>
        <w:tc>
          <w:tcPr>
            <w:tcW w:w="2966" w:type="pct"/>
          </w:tcPr>
          <w:p w14:paraId="13593322" w14:textId="345EAC0F"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0B3081">
              <w:rPr>
                <w:rFonts w:ascii="Arial" w:eastAsia="Times New Roman" w:hAnsi="Arial" w:cs="Arial"/>
                <w:color w:val="auto"/>
              </w:rPr>
              <w:t>M</w:t>
            </w:r>
            <w:r w:rsidR="005568E4">
              <w:rPr>
                <w:rFonts w:ascii="Arial" w:eastAsia="Times New Roman" w:hAnsi="Arial" w:cs="Arial"/>
                <w:color w:val="auto"/>
              </w:rPr>
              <w:t>anagement of Violence, Aggression and Vexatious Behaviour</w:t>
            </w:r>
          </w:p>
          <w:p w14:paraId="2D50025F" w14:textId="3745A3C5"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18F7671C" w14:textId="06A8A2A8" w:rsidR="0039715A" w:rsidRPr="0039715A" w:rsidRDefault="0039715A" w:rsidP="00494C18">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2420E4">
              <w:rPr>
                <w:rFonts w:ascii="Arial" w:eastAsia="Times New Roman" w:hAnsi="Arial" w:cs="Arial"/>
                <w:b/>
                <w:bCs/>
                <w:color w:val="auto"/>
              </w:rPr>
              <w:t>1.0</w:t>
            </w:r>
          </w:p>
        </w:tc>
        <w:tc>
          <w:tcPr>
            <w:tcW w:w="2034" w:type="pct"/>
          </w:tcPr>
          <w:p w14:paraId="0B94CD5C" w14:textId="64416A0E"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2420E4">
              <w:rPr>
                <w:rFonts w:ascii="Arial" w:eastAsia="Times New Roman" w:hAnsi="Arial" w:cs="Arial"/>
                <w:bCs/>
                <w:color w:val="auto"/>
              </w:rPr>
              <w:t>Resources</w:t>
            </w:r>
          </w:p>
        </w:tc>
      </w:tr>
      <w:tr w:rsidR="0039715A" w:rsidRPr="0039715A" w14:paraId="264D93CB" w14:textId="77777777" w:rsidTr="00126ED8">
        <w:tc>
          <w:tcPr>
            <w:tcW w:w="2966" w:type="pct"/>
          </w:tcPr>
          <w:p w14:paraId="24A9E7C0" w14:textId="3B58F60E" w:rsidR="0039715A" w:rsidRPr="00E13040"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r w:rsidR="00494C18" w:rsidRPr="00494C18">
              <w:rPr>
                <w:rFonts w:ascii="Arial" w:eastAsia="Times New Roman" w:hAnsi="Arial" w:cs="Arial"/>
                <w:color w:val="auto"/>
              </w:rPr>
              <w:t>Viv Barnes, Governance Lead</w:t>
            </w:r>
          </w:p>
        </w:tc>
        <w:tc>
          <w:tcPr>
            <w:tcW w:w="2034" w:type="pct"/>
          </w:tcPr>
          <w:p w14:paraId="252C86EB" w14:textId="62EB2C2E"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005568E4">
              <w:rPr>
                <w:rFonts w:ascii="Arial" w:eastAsia="Times New Roman" w:hAnsi="Arial" w:cs="Arial"/>
                <w:b/>
                <w:bCs/>
                <w:color w:val="auto"/>
              </w:rPr>
              <w:t xml:space="preserve"> </w:t>
            </w:r>
            <w:r w:rsidR="005568E4" w:rsidRPr="005568E4">
              <w:rPr>
                <w:rFonts w:ascii="Arial" w:eastAsia="Times New Roman" w:hAnsi="Arial" w:cs="Arial"/>
                <w:color w:val="auto"/>
              </w:rPr>
              <w:t>May</w:t>
            </w:r>
            <w:r w:rsidR="00494C18">
              <w:rPr>
                <w:rFonts w:ascii="Arial" w:eastAsia="Times New Roman" w:hAnsi="Arial" w:cs="Arial"/>
                <w:bCs/>
                <w:color w:val="auto"/>
              </w:rPr>
              <w:t xml:space="preserve"> 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126ED8">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126ED8">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494C18">
        <w:trPr>
          <w:trHeight w:val="566"/>
        </w:trPr>
        <w:tc>
          <w:tcPr>
            <w:tcW w:w="5000" w:type="pct"/>
          </w:tcPr>
          <w:p w14:paraId="6ED2851C" w14:textId="66CDF614" w:rsidR="0039715A" w:rsidRPr="00494C18" w:rsidRDefault="005568E4" w:rsidP="0039715A">
            <w:pPr>
              <w:autoSpaceDE w:val="0"/>
              <w:autoSpaceDN w:val="0"/>
              <w:adjustRightInd w:val="0"/>
              <w:spacing w:before="0" w:after="0"/>
              <w:ind w:left="0"/>
              <w:rPr>
                <w:rFonts w:ascii="Arial" w:eastAsia="Times New Roman" w:hAnsi="Arial" w:cs="Arial"/>
                <w:color w:val="000000"/>
              </w:rPr>
            </w:pPr>
            <w:r>
              <w:rPr>
                <w:rFonts w:ascii="Arial" w:eastAsia="Times New Roman" w:hAnsi="Arial" w:cs="Arial"/>
                <w:color w:val="000000"/>
              </w:rPr>
              <w:t xml:space="preserve">This policy </w:t>
            </w:r>
            <w:r w:rsidRPr="005568E4">
              <w:rPr>
                <w:rFonts w:ascii="Arial" w:eastAsia="Times New Roman" w:hAnsi="Arial" w:cs="Arial"/>
                <w:color w:val="000000"/>
              </w:rPr>
              <w:t>set</w:t>
            </w:r>
            <w:r>
              <w:rPr>
                <w:rFonts w:ascii="Arial" w:eastAsia="Times New Roman" w:hAnsi="Arial" w:cs="Arial"/>
                <w:color w:val="000000"/>
              </w:rPr>
              <w:t>s</w:t>
            </w:r>
            <w:r w:rsidRPr="005568E4">
              <w:rPr>
                <w:rFonts w:ascii="Arial" w:eastAsia="Times New Roman" w:hAnsi="Arial" w:cs="Arial"/>
                <w:color w:val="000000"/>
              </w:rPr>
              <w:t xml:space="preserve"> out the </w:t>
            </w:r>
            <w:r>
              <w:rPr>
                <w:rFonts w:ascii="Arial" w:eastAsia="Times New Roman" w:hAnsi="Arial" w:cs="Arial"/>
                <w:color w:val="000000"/>
              </w:rPr>
              <w:t xml:space="preserve">ICB’s </w:t>
            </w:r>
            <w:r w:rsidRPr="005568E4">
              <w:rPr>
                <w:rFonts w:ascii="Arial" w:eastAsia="Times New Roman" w:hAnsi="Arial" w:cs="Arial"/>
                <w:color w:val="000000"/>
              </w:rPr>
              <w:t>arrangements for the identification, assessment and management of violence and aggression risks to staff and others to provide and maintain a safe and secure working environment.</w:t>
            </w:r>
          </w:p>
        </w:tc>
      </w:tr>
      <w:tr w:rsidR="0039715A" w:rsidRPr="0039715A" w14:paraId="506D2BC1" w14:textId="77777777" w:rsidTr="00126ED8">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126ED8">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5568E4">
        <w:trPr>
          <w:trHeight w:val="502"/>
        </w:trPr>
        <w:tc>
          <w:tcPr>
            <w:tcW w:w="5000" w:type="pct"/>
          </w:tcPr>
          <w:p w14:paraId="3AB229FC" w14:textId="3C5B6CFD" w:rsidR="0039715A" w:rsidRPr="00494C18" w:rsidRDefault="005568E4" w:rsidP="00494C18">
            <w:pPr>
              <w:spacing w:before="0" w:after="0"/>
              <w:ind w:left="0"/>
              <w:rPr>
                <w:rFonts w:ascii="Arial" w:eastAsia="Times New Roman" w:hAnsi="Arial" w:cs="Arial"/>
                <w:bCs/>
                <w:color w:val="auto"/>
              </w:rPr>
            </w:pPr>
            <w:r w:rsidRPr="005568E4">
              <w:rPr>
                <w:rFonts w:ascii="Arial" w:eastAsia="Times New Roman" w:hAnsi="Arial" w:cs="Arial"/>
                <w:bCs/>
                <w:color w:val="auto"/>
              </w:rPr>
              <w:t>The CCGs</w:t>
            </w:r>
            <w:r>
              <w:rPr>
                <w:rFonts w:ascii="Arial" w:eastAsia="Times New Roman" w:hAnsi="Arial" w:cs="Arial"/>
                <w:bCs/>
                <w:color w:val="auto"/>
              </w:rPr>
              <w:t>,</w:t>
            </w:r>
            <w:r w:rsidRPr="005568E4">
              <w:rPr>
                <w:rFonts w:ascii="Arial" w:eastAsia="Times New Roman" w:hAnsi="Arial" w:cs="Arial"/>
                <w:bCs/>
                <w:color w:val="auto"/>
              </w:rPr>
              <w:t xml:space="preserve"> </w:t>
            </w:r>
            <w:r>
              <w:rPr>
                <w:rFonts w:ascii="Arial" w:eastAsia="Times New Roman" w:hAnsi="Arial" w:cs="Arial"/>
                <w:bCs/>
                <w:color w:val="auto"/>
              </w:rPr>
              <w:t xml:space="preserve">and the ICB as their successor body, </w:t>
            </w:r>
            <w:r w:rsidRPr="005568E4">
              <w:rPr>
                <w:rFonts w:ascii="Arial" w:eastAsia="Times New Roman" w:hAnsi="Arial" w:cs="Arial"/>
                <w:bCs/>
                <w:color w:val="auto"/>
              </w:rPr>
              <w:t>regularly monitor the make-up of their workforce, including protected groups</w:t>
            </w:r>
            <w:r>
              <w:rPr>
                <w:rFonts w:ascii="Arial" w:eastAsia="Times New Roman" w:hAnsi="Arial" w:cs="Arial"/>
                <w:bCs/>
                <w:color w:val="auto"/>
              </w:rPr>
              <w:t xml:space="preserve">.  </w:t>
            </w:r>
          </w:p>
        </w:tc>
      </w:tr>
      <w:tr w:rsidR="0039715A" w:rsidRPr="0039715A" w14:paraId="0D875C19" w14:textId="77777777" w:rsidTr="00126ED8">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494C18">
        <w:trPr>
          <w:trHeight w:val="458"/>
        </w:trPr>
        <w:tc>
          <w:tcPr>
            <w:tcW w:w="5000" w:type="pct"/>
          </w:tcPr>
          <w:p w14:paraId="64D45F71" w14:textId="77777777" w:rsidR="005568E4" w:rsidRPr="005568E4" w:rsidRDefault="005568E4" w:rsidP="00B40E4E">
            <w:pPr>
              <w:pStyle w:val="ListParagraph"/>
              <w:numPr>
                <w:ilvl w:val="0"/>
                <w:numId w:val="39"/>
              </w:numPr>
              <w:spacing w:before="0" w:after="0"/>
              <w:rPr>
                <w:rFonts w:ascii="Arial" w:eastAsia="Times New Roman" w:hAnsi="Arial" w:cs="Arial"/>
                <w:color w:val="auto"/>
              </w:rPr>
            </w:pPr>
            <w:r w:rsidRPr="005568E4">
              <w:rPr>
                <w:rFonts w:ascii="Arial" w:eastAsia="Times New Roman" w:hAnsi="Arial" w:cs="Arial"/>
                <w:color w:val="auto"/>
              </w:rPr>
              <w:t>Internal Audit</w:t>
            </w:r>
          </w:p>
          <w:p w14:paraId="425E64FE" w14:textId="77777777" w:rsidR="005568E4" w:rsidRPr="005568E4" w:rsidRDefault="005568E4" w:rsidP="00B40E4E">
            <w:pPr>
              <w:pStyle w:val="ListParagraph"/>
              <w:numPr>
                <w:ilvl w:val="0"/>
                <w:numId w:val="39"/>
              </w:numPr>
              <w:spacing w:before="0" w:after="0"/>
              <w:rPr>
                <w:rFonts w:ascii="Arial" w:eastAsia="Times New Roman" w:hAnsi="Arial" w:cs="Arial"/>
                <w:color w:val="auto"/>
              </w:rPr>
            </w:pPr>
            <w:r w:rsidRPr="005568E4">
              <w:rPr>
                <w:rFonts w:ascii="Arial" w:eastAsia="Times New Roman" w:hAnsi="Arial" w:cs="Arial"/>
                <w:color w:val="auto"/>
              </w:rPr>
              <w:t>Health and Safety Coordinator</w:t>
            </w:r>
          </w:p>
          <w:p w14:paraId="3A55302D" w14:textId="77777777" w:rsidR="005568E4" w:rsidRPr="005568E4" w:rsidRDefault="005568E4" w:rsidP="00B40E4E">
            <w:pPr>
              <w:pStyle w:val="ListParagraph"/>
              <w:numPr>
                <w:ilvl w:val="0"/>
                <w:numId w:val="39"/>
              </w:numPr>
              <w:spacing w:before="0" w:after="0"/>
              <w:rPr>
                <w:rFonts w:ascii="Arial" w:eastAsia="Times New Roman" w:hAnsi="Arial" w:cs="Arial"/>
                <w:color w:val="auto"/>
              </w:rPr>
            </w:pPr>
            <w:r w:rsidRPr="005568E4">
              <w:rPr>
                <w:rFonts w:ascii="Arial" w:eastAsia="Times New Roman" w:hAnsi="Arial" w:cs="Arial"/>
                <w:color w:val="auto"/>
              </w:rPr>
              <w:t>MSE ICB Governance Leads</w:t>
            </w:r>
          </w:p>
          <w:p w14:paraId="1A04709B" w14:textId="267C76A1" w:rsidR="005568E4" w:rsidRPr="005568E4" w:rsidRDefault="001D57D3" w:rsidP="00B40E4E">
            <w:pPr>
              <w:pStyle w:val="ListParagraph"/>
              <w:numPr>
                <w:ilvl w:val="0"/>
                <w:numId w:val="39"/>
              </w:numPr>
              <w:spacing w:before="0" w:after="0"/>
              <w:rPr>
                <w:rFonts w:ascii="Arial" w:eastAsia="Times New Roman" w:hAnsi="Arial" w:cs="Arial"/>
                <w:color w:val="auto"/>
              </w:rPr>
            </w:pPr>
            <w:r>
              <w:rPr>
                <w:rFonts w:ascii="Arial" w:eastAsia="Times New Roman" w:hAnsi="Arial" w:cs="Arial"/>
                <w:color w:val="auto"/>
              </w:rPr>
              <w:t xml:space="preserve">Chief </w:t>
            </w:r>
            <w:r w:rsidR="005568E4" w:rsidRPr="005568E4">
              <w:rPr>
                <w:rFonts w:ascii="Arial" w:eastAsia="Times New Roman" w:hAnsi="Arial" w:cs="Arial"/>
                <w:color w:val="auto"/>
              </w:rPr>
              <w:t>Finance</w:t>
            </w:r>
            <w:r>
              <w:rPr>
                <w:rFonts w:ascii="Arial" w:eastAsia="Times New Roman" w:hAnsi="Arial" w:cs="Arial"/>
                <w:color w:val="auto"/>
              </w:rPr>
              <w:t xml:space="preserve"> Officer</w:t>
            </w:r>
          </w:p>
          <w:p w14:paraId="71260842" w14:textId="0F5DBC10" w:rsidR="005568E4" w:rsidRPr="005568E4" w:rsidRDefault="005568E4" w:rsidP="00B40E4E">
            <w:pPr>
              <w:pStyle w:val="ListParagraph"/>
              <w:numPr>
                <w:ilvl w:val="0"/>
                <w:numId w:val="39"/>
              </w:numPr>
              <w:spacing w:before="0" w:after="0"/>
              <w:rPr>
                <w:rFonts w:ascii="Arial" w:eastAsia="Times New Roman" w:hAnsi="Arial" w:cs="Arial"/>
                <w:color w:val="auto"/>
              </w:rPr>
            </w:pPr>
            <w:r w:rsidRPr="005568E4">
              <w:rPr>
                <w:rFonts w:ascii="Arial" w:eastAsia="Times New Roman" w:hAnsi="Arial" w:cs="Arial"/>
                <w:color w:val="auto"/>
              </w:rPr>
              <w:t>Human Resources</w:t>
            </w:r>
          </w:p>
          <w:p w14:paraId="5B17CAFB" w14:textId="77777777" w:rsidR="005568E4" w:rsidRPr="005568E4" w:rsidRDefault="005568E4" w:rsidP="00B40E4E">
            <w:pPr>
              <w:pStyle w:val="ListParagraph"/>
              <w:numPr>
                <w:ilvl w:val="0"/>
                <w:numId w:val="39"/>
              </w:numPr>
              <w:spacing w:before="0" w:after="0"/>
              <w:rPr>
                <w:rFonts w:ascii="Arial" w:eastAsia="Times New Roman" w:hAnsi="Arial" w:cs="Arial"/>
                <w:color w:val="auto"/>
              </w:rPr>
            </w:pPr>
            <w:r w:rsidRPr="005568E4">
              <w:rPr>
                <w:rFonts w:ascii="Arial" w:eastAsia="Times New Roman" w:hAnsi="Arial" w:cs="Arial"/>
                <w:color w:val="auto"/>
              </w:rPr>
              <w:t>Director of Quality and Nursing</w:t>
            </w:r>
          </w:p>
          <w:p w14:paraId="1CE4F21E" w14:textId="09381785" w:rsidR="0039715A" w:rsidRPr="005568E4" w:rsidRDefault="005568E4" w:rsidP="00B40E4E">
            <w:pPr>
              <w:pStyle w:val="ListParagraph"/>
              <w:numPr>
                <w:ilvl w:val="0"/>
                <w:numId w:val="39"/>
              </w:numPr>
              <w:spacing w:before="0" w:after="0"/>
              <w:rPr>
                <w:rFonts w:ascii="Arial" w:eastAsia="Times New Roman" w:hAnsi="Arial" w:cs="Arial"/>
                <w:color w:val="auto"/>
              </w:rPr>
            </w:pPr>
            <w:r w:rsidRPr="005568E4">
              <w:rPr>
                <w:rFonts w:ascii="Arial" w:eastAsia="Times New Roman" w:hAnsi="Arial" w:cs="Arial"/>
                <w:color w:val="auto"/>
              </w:rPr>
              <w:t>CCG Audit Committees in Common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FA1183">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FA118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69E294E5" w:rsidR="0039715A" w:rsidRPr="0039715A" w:rsidRDefault="0039715A" w:rsidP="00FA118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B067B3" w:rsidRPr="0039715A">
        <w:rPr>
          <w:rFonts w:ascii="Arial" w:eastAsia="Times New Roman" w:hAnsi="Arial" w:cs="Arial"/>
          <w:b/>
          <w:bCs/>
          <w:i/>
          <w:color w:val="auto"/>
        </w:rPr>
        <w:t xml:space="preserve">outcome </w:t>
      </w:r>
      <w:r w:rsidR="00B067B3"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126ED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7EB26DBC" w:rsidR="0039715A" w:rsidRPr="0039715A" w:rsidRDefault="00494C1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2EFB8E65" w:rsidR="0039715A" w:rsidRPr="0039715A" w:rsidRDefault="00F80AA2"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policy includes </w:t>
            </w:r>
            <w:r w:rsidR="000B3081">
              <w:rPr>
                <w:rFonts w:ascii="Arial" w:eastAsia="Times New Roman" w:hAnsi="Arial" w:cs="Arial"/>
                <w:color w:val="auto"/>
                <w:sz w:val="22"/>
                <w:szCs w:val="22"/>
              </w:rPr>
              <w:t xml:space="preserve">incidents of </w:t>
            </w:r>
            <w:r w:rsidRPr="00F80AA2">
              <w:rPr>
                <w:rFonts w:ascii="Arial" w:eastAsia="Times New Roman" w:hAnsi="Arial" w:cs="Arial"/>
                <w:color w:val="auto"/>
                <w:sz w:val="22"/>
                <w:szCs w:val="22"/>
              </w:rPr>
              <w:t>racist, sexist, homophobic, transphobic, disablist or other harassment based on a person’s characteristics</w:t>
            </w:r>
            <w:r>
              <w:rPr>
                <w:rFonts w:ascii="Arial" w:eastAsia="Times New Roman" w:hAnsi="Arial" w:cs="Arial"/>
                <w:color w:val="auto"/>
                <w:sz w:val="22"/>
                <w:szCs w:val="22"/>
              </w:rPr>
              <w:t xml:space="preserve"> as an example of abusive behaviour therefore a neutral outcome has been assessed for these groups</w:t>
            </w:r>
            <w:r w:rsidR="000B3081">
              <w:rPr>
                <w:rFonts w:ascii="Arial" w:eastAsia="Times New Roman" w:hAnsi="Arial" w:cs="Arial"/>
                <w:color w:val="auto"/>
                <w:sz w:val="22"/>
                <w:szCs w:val="22"/>
              </w:rPr>
              <w:t>.  See Appendix B</w:t>
            </w:r>
          </w:p>
        </w:tc>
      </w:tr>
      <w:tr w:rsidR="0039715A" w:rsidRPr="0039715A" w14:paraId="25C57506" w14:textId="77777777" w:rsidTr="00126ED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1E28AFFF" w:rsidR="0039715A" w:rsidRPr="0039715A" w:rsidRDefault="00494C1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3298F807" w:rsidR="0039715A" w:rsidRPr="0039715A" w:rsidRDefault="00F80AA2"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r w:rsidR="00A6485C">
              <w:rPr>
                <w:rFonts w:ascii="Arial" w:eastAsia="Times New Roman" w:hAnsi="Arial" w:cs="Arial"/>
                <w:color w:val="auto"/>
                <w:sz w:val="22"/>
                <w:szCs w:val="22"/>
              </w:rPr>
              <w:t>.  Policies will be made available in alternative formats on request.</w:t>
            </w:r>
          </w:p>
        </w:tc>
      </w:tr>
      <w:tr w:rsidR="00A6485C" w:rsidRPr="0039715A" w14:paraId="4A7DA75D" w14:textId="77777777" w:rsidTr="00E13040">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D372CE8"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20C541E5" w14:textId="390F3DD8" w:rsidR="00A6485C" w:rsidRPr="0039715A" w:rsidRDefault="00F80AA2" w:rsidP="00A6485C">
            <w:pPr>
              <w:spacing w:before="0" w:after="0"/>
              <w:ind w:left="0"/>
              <w:rPr>
                <w:rFonts w:ascii="Arial" w:eastAsia="Times New Roman" w:hAnsi="Arial" w:cs="Arial"/>
                <w:color w:val="auto"/>
                <w:sz w:val="22"/>
                <w:szCs w:val="22"/>
              </w:rPr>
            </w:pPr>
            <w:bookmarkStart w:id="86" w:name="_Hlk102392635"/>
            <w:r>
              <w:rPr>
                <w:rFonts w:ascii="Arial" w:eastAsia="Times New Roman" w:hAnsi="Arial" w:cs="Arial"/>
                <w:color w:val="auto"/>
                <w:sz w:val="22"/>
                <w:szCs w:val="22"/>
              </w:rPr>
              <w:t>As above</w:t>
            </w:r>
            <w:bookmarkEnd w:id="86"/>
          </w:p>
        </w:tc>
      </w:tr>
      <w:tr w:rsidR="00A6485C" w:rsidRPr="0039715A" w14:paraId="5172CDAF" w14:textId="77777777" w:rsidTr="00E13040">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D82E56A"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61FA1133" w14:textId="439253BA"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A6485C" w:rsidRPr="0039715A" w14:paraId="78DE3D4D" w14:textId="77777777" w:rsidTr="00E13040">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1A803FB"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4AC4BEF3" w14:textId="04FB3FAB"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A6485C" w:rsidRPr="0039715A" w14:paraId="6E53A04F" w14:textId="77777777" w:rsidTr="00E1304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2B797866"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28AF7621" w14:textId="0F1569AC"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A6485C" w:rsidRPr="0039715A" w14:paraId="0E7461B4" w14:textId="77777777" w:rsidTr="00E13040">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E0CBBA4"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4C30FD5B" w14:textId="2D30C120"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r w:rsidR="00A6485C">
              <w:rPr>
                <w:rFonts w:ascii="Arial" w:eastAsia="Times New Roman" w:hAnsi="Arial" w:cs="Arial"/>
                <w:color w:val="auto"/>
                <w:sz w:val="22"/>
                <w:szCs w:val="22"/>
              </w:rPr>
              <w:t>.  Policies will be made available in alternative formats on request.</w:t>
            </w:r>
          </w:p>
        </w:tc>
      </w:tr>
      <w:tr w:rsidR="00A6485C" w:rsidRPr="0039715A" w14:paraId="73EFD30E" w14:textId="77777777" w:rsidTr="00E1304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9877391"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0BE8902D" w14:textId="0499C5A3"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A6485C" w:rsidRPr="0039715A" w14:paraId="36FC0961" w14:textId="77777777" w:rsidTr="00E13040">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57C75200"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r w:rsidR="00B067B3" w:rsidRPr="0039715A">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629EC2D"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tcPr>
          <w:p w14:paraId="20F375D4" w14:textId="15AB0657"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126ED8">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126ED8">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126ED8">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C4439D">
        <w:trPr>
          <w:trHeight w:val="610"/>
        </w:trPr>
        <w:tc>
          <w:tcPr>
            <w:tcW w:w="5000" w:type="pct"/>
            <w:tcBorders>
              <w:top w:val="single" w:sz="4" w:space="0" w:color="auto"/>
              <w:left w:val="single" w:sz="4" w:space="0" w:color="auto"/>
              <w:right w:val="single" w:sz="4" w:space="0" w:color="auto"/>
            </w:tcBorders>
          </w:tcPr>
          <w:p w14:paraId="7DB44F0B" w14:textId="68B7A28A" w:rsidR="0039715A" w:rsidRPr="0039715A" w:rsidRDefault="00F80AA2"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Relevant incident reporting data and Staff Survey results </w:t>
            </w:r>
            <w:r w:rsidR="00D85EC4" w:rsidRPr="00D85EC4">
              <w:rPr>
                <w:rFonts w:ascii="Arial" w:eastAsia="Times New Roman" w:hAnsi="Arial" w:cs="Arial"/>
                <w:bCs/>
                <w:color w:val="auto"/>
              </w:rPr>
              <w:t xml:space="preserve">will be used to monitor </w:t>
            </w:r>
            <w:r>
              <w:rPr>
                <w:rFonts w:ascii="Arial" w:eastAsia="Times New Roman" w:hAnsi="Arial" w:cs="Arial"/>
                <w:bCs/>
                <w:color w:val="auto"/>
              </w:rPr>
              <w:t xml:space="preserve">the </w:t>
            </w:r>
            <w:r w:rsidR="00D85EC4" w:rsidRPr="00D85EC4">
              <w:rPr>
                <w:rFonts w:ascii="Arial" w:eastAsia="Times New Roman" w:hAnsi="Arial" w:cs="Arial"/>
                <w:bCs/>
                <w:color w:val="auto"/>
              </w:rPr>
              <w:t xml:space="preserve">effectiveness of this policy.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126ED8">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126ED8">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126ED8">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126ED8">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126ED8">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84"/>
      <w:bookmarkEnd w:id="85"/>
    </w:tbl>
    <w:p w14:paraId="621D8D05" w14:textId="007372FA" w:rsidR="00F40D75" w:rsidRPr="00F80AA2" w:rsidRDefault="00824CE3" w:rsidP="00F80AA2">
      <w:pPr>
        <w:pStyle w:val="Heading2"/>
        <w:numPr>
          <w:ilvl w:val="0"/>
          <w:numId w:val="0"/>
        </w:numPr>
        <w:ind w:left="1134" w:hanging="1134"/>
      </w:pPr>
      <w:r>
        <w:br w:type="page"/>
      </w:r>
      <w:bookmarkStart w:id="87" w:name="_Toc111190882"/>
      <w:r>
        <w:t xml:space="preserve">Appendix B – </w:t>
      </w:r>
      <w:r w:rsidR="005C7787">
        <w:t xml:space="preserve">Examples of </w:t>
      </w:r>
      <w:r>
        <w:t>violen</w:t>
      </w:r>
      <w:r w:rsidR="005C7787">
        <w:t>t and abusive behaviour</w:t>
      </w:r>
      <w:bookmarkEnd w:id="87"/>
    </w:p>
    <w:p w14:paraId="0C2142D8" w14:textId="77777777" w:rsidR="005C7787" w:rsidRDefault="005C7787" w:rsidP="00B034DA">
      <w:pPr>
        <w:pStyle w:val="Default"/>
        <w:spacing w:after="200"/>
      </w:pPr>
      <w:r>
        <w:t xml:space="preserve">Examples of the types of behaviour covered by this policy are summarised below, although the list is not exhaustive: </w:t>
      </w:r>
    </w:p>
    <w:p w14:paraId="0BBD60F3" w14:textId="77777777" w:rsidR="005C7787" w:rsidRDefault="005C7787" w:rsidP="00B40E4E">
      <w:pPr>
        <w:pStyle w:val="ListParagraph"/>
        <w:numPr>
          <w:ilvl w:val="0"/>
          <w:numId w:val="23"/>
        </w:numPr>
        <w:ind w:left="426"/>
      </w:pPr>
      <w:r>
        <w:t>Loud and intrusive conversation.</w:t>
      </w:r>
    </w:p>
    <w:p w14:paraId="7000B291" w14:textId="65CF5A16" w:rsidR="005C7787" w:rsidRDefault="005C7787" w:rsidP="00B40E4E">
      <w:pPr>
        <w:pStyle w:val="ListParagraph"/>
        <w:numPr>
          <w:ilvl w:val="0"/>
          <w:numId w:val="23"/>
        </w:numPr>
        <w:ind w:left="426"/>
      </w:pPr>
      <w:r>
        <w:t>Offensive language, verbal abuse and swearing which prevents staff from doing their job or makes them feel unsafe.</w:t>
      </w:r>
    </w:p>
    <w:p w14:paraId="6B7ACA25" w14:textId="77777777" w:rsidR="005C7787" w:rsidRDefault="005C7787" w:rsidP="00B40E4E">
      <w:pPr>
        <w:pStyle w:val="ListParagraph"/>
        <w:numPr>
          <w:ilvl w:val="0"/>
          <w:numId w:val="23"/>
        </w:numPr>
        <w:ind w:left="426"/>
      </w:pPr>
      <w:r>
        <w:t>Unwanted, derogatory or abusive remarks.</w:t>
      </w:r>
    </w:p>
    <w:p w14:paraId="00A79527" w14:textId="0E4EE052" w:rsidR="005C7787" w:rsidRDefault="005C7787" w:rsidP="00B40E4E">
      <w:pPr>
        <w:pStyle w:val="ListParagraph"/>
        <w:numPr>
          <w:ilvl w:val="0"/>
          <w:numId w:val="23"/>
        </w:numPr>
        <w:ind w:left="426"/>
      </w:pPr>
      <w:r>
        <w:t>Negative, malicious or stereotypical comments.</w:t>
      </w:r>
    </w:p>
    <w:p w14:paraId="39C7BB43" w14:textId="1A0D7E6F" w:rsidR="005C7787" w:rsidRDefault="005C7787" w:rsidP="00B40E4E">
      <w:pPr>
        <w:pStyle w:val="ListParagraph"/>
        <w:numPr>
          <w:ilvl w:val="0"/>
          <w:numId w:val="23"/>
        </w:numPr>
        <w:ind w:left="426"/>
      </w:pPr>
      <w:r>
        <w:t xml:space="preserve">Rudeness, racist, sexist, homophobic, transphobic, disablist or other harassment based on </w:t>
      </w:r>
      <w:r w:rsidR="005568E4">
        <w:t xml:space="preserve">a </w:t>
      </w:r>
      <w:r>
        <w:t>person</w:t>
      </w:r>
      <w:r w:rsidR="005568E4">
        <w:t>’s</w:t>
      </w:r>
      <w:r>
        <w:t xml:space="preserve"> characteristics.</w:t>
      </w:r>
    </w:p>
    <w:p w14:paraId="1B8A569F" w14:textId="77777777" w:rsidR="005C7787" w:rsidRDefault="005C7787" w:rsidP="00B40E4E">
      <w:pPr>
        <w:pStyle w:val="ListParagraph"/>
        <w:numPr>
          <w:ilvl w:val="0"/>
          <w:numId w:val="23"/>
        </w:numPr>
        <w:ind w:left="426"/>
      </w:pPr>
      <w:r>
        <w:t>Invasion of personal space.</w:t>
      </w:r>
    </w:p>
    <w:p w14:paraId="6FE6EE81" w14:textId="77777777" w:rsidR="005C7787" w:rsidRDefault="005C7787" w:rsidP="00B40E4E">
      <w:pPr>
        <w:pStyle w:val="ListParagraph"/>
        <w:numPr>
          <w:ilvl w:val="0"/>
          <w:numId w:val="23"/>
        </w:numPr>
        <w:ind w:left="426"/>
      </w:pPr>
      <w:r>
        <w:t>Offensive gestures.</w:t>
      </w:r>
    </w:p>
    <w:p w14:paraId="7A601FAF" w14:textId="77777777" w:rsidR="005C7787" w:rsidRDefault="005C7787" w:rsidP="00B40E4E">
      <w:pPr>
        <w:pStyle w:val="ListParagraph"/>
        <w:numPr>
          <w:ilvl w:val="0"/>
          <w:numId w:val="23"/>
        </w:numPr>
        <w:ind w:left="426"/>
      </w:pPr>
      <w:r>
        <w:t>Threats or risk of serious injury to a member of staff.</w:t>
      </w:r>
    </w:p>
    <w:p w14:paraId="248D8A49" w14:textId="77777777" w:rsidR="005C7787" w:rsidRDefault="005C7787" w:rsidP="00B40E4E">
      <w:pPr>
        <w:pStyle w:val="ListParagraph"/>
        <w:numPr>
          <w:ilvl w:val="0"/>
          <w:numId w:val="23"/>
        </w:numPr>
        <w:ind w:left="426"/>
      </w:pPr>
      <w:r>
        <w:t>Bullying, victimisation or intimidation</w:t>
      </w:r>
    </w:p>
    <w:p w14:paraId="6FC0F3AE" w14:textId="77777777" w:rsidR="005C7787" w:rsidRDefault="005C7787" w:rsidP="00B40E4E">
      <w:pPr>
        <w:pStyle w:val="ListParagraph"/>
        <w:numPr>
          <w:ilvl w:val="0"/>
          <w:numId w:val="23"/>
        </w:numPr>
        <w:ind w:left="426"/>
      </w:pPr>
      <w:r>
        <w:t>Stalking.</w:t>
      </w:r>
    </w:p>
    <w:p w14:paraId="4512C38F" w14:textId="77777777" w:rsidR="005C7787" w:rsidRDefault="005C7787" w:rsidP="00B40E4E">
      <w:pPr>
        <w:pStyle w:val="ListParagraph"/>
        <w:numPr>
          <w:ilvl w:val="0"/>
          <w:numId w:val="23"/>
        </w:numPr>
        <w:ind w:left="426"/>
      </w:pPr>
      <w:r>
        <w:t>Alcohol or drug fuelled verbal abuse.</w:t>
      </w:r>
    </w:p>
    <w:p w14:paraId="457C969A" w14:textId="77777777" w:rsidR="00B034DA" w:rsidRDefault="005C7787" w:rsidP="00B40E4E">
      <w:pPr>
        <w:pStyle w:val="ListParagraph"/>
        <w:numPr>
          <w:ilvl w:val="0"/>
          <w:numId w:val="23"/>
        </w:numPr>
        <w:ind w:left="426"/>
      </w:pPr>
      <w:r>
        <w:t>Unreasonable behaviour and non-cooperation or any of the above which is linked to destruction of or damage to property.</w:t>
      </w:r>
    </w:p>
    <w:p w14:paraId="7401C29C" w14:textId="77777777" w:rsidR="00B034DA" w:rsidRDefault="005C7787" w:rsidP="00B40E4E">
      <w:pPr>
        <w:pStyle w:val="ListParagraph"/>
        <w:numPr>
          <w:ilvl w:val="0"/>
          <w:numId w:val="23"/>
        </w:numPr>
        <w:ind w:left="426"/>
      </w:pPr>
      <w:r>
        <w:t>Inappropriate use of social media.</w:t>
      </w:r>
    </w:p>
    <w:p w14:paraId="66C28914" w14:textId="77777777" w:rsidR="00B034DA" w:rsidRDefault="005C7787" w:rsidP="00B40E4E">
      <w:pPr>
        <w:pStyle w:val="ListParagraph"/>
        <w:numPr>
          <w:ilvl w:val="0"/>
          <w:numId w:val="23"/>
        </w:numPr>
        <w:ind w:left="426"/>
      </w:pPr>
      <w:r>
        <w:t>Repeatedly demanding disciplinary action be taken against staff</w:t>
      </w:r>
      <w:r w:rsidR="00B034DA">
        <w:t>.</w:t>
      </w:r>
    </w:p>
    <w:p w14:paraId="3686F8E6" w14:textId="26996B9F" w:rsidR="00824CE3" w:rsidRPr="00B034DA" w:rsidRDefault="005C7787" w:rsidP="00B40E4E">
      <w:pPr>
        <w:pStyle w:val="ListParagraph"/>
        <w:numPr>
          <w:ilvl w:val="0"/>
          <w:numId w:val="23"/>
        </w:numPr>
        <w:ind w:left="426"/>
      </w:pPr>
      <w:r>
        <w:t xml:space="preserve">Behaviour that is perceived by a member </w:t>
      </w:r>
      <w:r w:rsidR="00B034DA">
        <w:t xml:space="preserve">or employee </w:t>
      </w:r>
      <w:r>
        <w:t xml:space="preserve">of the </w:t>
      </w:r>
      <w:r w:rsidR="00B034DA">
        <w:t>ICB</w:t>
      </w:r>
      <w:r>
        <w:t xml:space="preserve"> as bullying, threatening or obsessive</w:t>
      </w:r>
      <w:r w:rsidR="00B034DA">
        <w:t>.</w:t>
      </w:r>
    </w:p>
    <w:p w14:paraId="0A44ABE7" w14:textId="13138429" w:rsidR="00B034DA" w:rsidRDefault="00B034DA" w:rsidP="00B034DA">
      <w:pPr>
        <w:ind w:left="0"/>
      </w:pPr>
      <w:r>
        <w:t>Such behaviour can be either in person, by telephone, letter</w:t>
      </w:r>
      <w:r w:rsidR="005568E4">
        <w:t xml:space="preserve">, </w:t>
      </w:r>
      <w:r>
        <w:t>e-mail</w:t>
      </w:r>
      <w:r w:rsidR="005568E4">
        <w:t>, social media</w:t>
      </w:r>
      <w:r>
        <w:t xml:space="preserve"> or other form of communication such as graffiti on NHS property.</w:t>
      </w:r>
    </w:p>
    <w:p w14:paraId="7E1C4ECE" w14:textId="77777777" w:rsidR="007C6DB9" w:rsidRDefault="007C6DB9" w:rsidP="00285BEC">
      <w:pPr>
        <w:spacing w:before="0" w:after="0"/>
        <w:ind w:left="0"/>
        <w:rPr>
          <w:rFonts w:asciiTheme="majorHAnsi" w:eastAsiaTheme="majorEastAsia" w:hAnsiTheme="majorHAnsi" w:cstheme="majorBidi"/>
          <w:b/>
          <w:color w:val="005EB8" w:themeColor="accent2"/>
          <w:sz w:val="32"/>
          <w:szCs w:val="26"/>
        </w:rPr>
        <w:sectPr w:rsidR="007C6DB9" w:rsidSect="005D2D2B">
          <w:footerReference w:type="default" r:id="rId21"/>
          <w:pgSz w:w="11906" w:h="16838"/>
          <w:pgMar w:top="1135" w:right="1440" w:bottom="1797" w:left="1440" w:header="1111" w:footer="709" w:gutter="0"/>
          <w:pgNumType w:start="1"/>
          <w:cols w:space="708"/>
          <w:docGrid w:linePitch="360"/>
        </w:sectPr>
      </w:pPr>
    </w:p>
    <w:p w14:paraId="1F08230F" w14:textId="306C12BB" w:rsidR="007C6DB9" w:rsidRPr="00F77F40" w:rsidRDefault="007C6DB9" w:rsidP="00F80AA2">
      <w:pPr>
        <w:pStyle w:val="Heading2"/>
        <w:numPr>
          <w:ilvl w:val="0"/>
          <w:numId w:val="0"/>
        </w:numPr>
        <w:ind w:left="1134" w:hanging="1134"/>
        <w:rPr>
          <w:rFonts w:cs="Arial"/>
          <w:sz w:val="24"/>
          <w:szCs w:val="24"/>
        </w:rPr>
      </w:pPr>
      <w:bookmarkStart w:id="88" w:name="_Toc96950651"/>
      <w:bookmarkStart w:id="89" w:name="_Toc96950679"/>
      <w:bookmarkStart w:id="90" w:name="_Toc96950766"/>
      <w:bookmarkStart w:id="91" w:name="_Toc96950895"/>
      <w:bookmarkStart w:id="92" w:name="_Toc99360152"/>
      <w:bookmarkStart w:id="93" w:name="_Toc111190883"/>
      <w:r w:rsidRPr="003170E1">
        <w:t xml:space="preserve">APPENDIX </w:t>
      </w:r>
      <w:bookmarkEnd w:id="88"/>
      <w:bookmarkEnd w:id="89"/>
      <w:bookmarkEnd w:id="90"/>
      <w:bookmarkEnd w:id="91"/>
      <w:r w:rsidR="00F80AA2">
        <w:t>C</w:t>
      </w:r>
      <w:r>
        <w:t xml:space="preserve"> – First warning lette</w:t>
      </w:r>
      <w:bookmarkEnd w:id="92"/>
      <w:r w:rsidR="00F80AA2">
        <w:t>r</w:t>
      </w:r>
      <w:bookmarkEnd w:id="93"/>
    </w:p>
    <w:p w14:paraId="1635B16C" w14:textId="77777777" w:rsidR="007C6DB9" w:rsidRPr="00F77F40" w:rsidRDefault="007C6DB9" w:rsidP="007C6DB9">
      <w:pPr>
        <w:rPr>
          <w:rFonts w:eastAsia="Times New Roman"/>
        </w:rPr>
      </w:pPr>
    </w:p>
    <w:p w14:paraId="63932EB9" w14:textId="77777777" w:rsidR="00B40E4E" w:rsidRPr="00E95540" w:rsidRDefault="00B40E4E" w:rsidP="00B40E4E">
      <w:pPr>
        <w:spacing w:after="0"/>
        <w:ind w:left="0"/>
        <w:rPr>
          <w:rFonts w:eastAsia="Times New Roman"/>
          <w:color w:val="FF0000"/>
        </w:rPr>
      </w:pPr>
      <w:r w:rsidRPr="00E95540">
        <w:rPr>
          <w:rFonts w:eastAsia="Times New Roman"/>
          <w:color w:val="FF0000"/>
        </w:rPr>
        <w:t xml:space="preserve">Individual’s name: </w:t>
      </w:r>
    </w:p>
    <w:p w14:paraId="20744B39" w14:textId="77777777" w:rsidR="00B40E4E" w:rsidRPr="00E95540" w:rsidRDefault="00B40E4E" w:rsidP="00B40E4E">
      <w:pPr>
        <w:spacing w:before="0"/>
        <w:ind w:left="0"/>
        <w:rPr>
          <w:rFonts w:eastAsia="Times New Roman"/>
          <w:color w:val="FF0000"/>
        </w:rPr>
      </w:pPr>
      <w:r w:rsidRPr="00E95540">
        <w:rPr>
          <w:rFonts w:eastAsia="Times New Roman"/>
          <w:color w:val="FF0000"/>
        </w:rPr>
        <w:t xml:space="preserve">Individual’s address:  </w:t>
      </w:r>
    </w:p>
    <w:p w14:paraId="68C7144C" w14:textId="77777777" w:rsidR="00F80AA2" w:rsidRDefault="00F80AA2" w:rsidP="00F80AA2">
      <w:pPr>
        <w:ind w:left="0"/>
        <w:rPr>
          <w:rFonts w:eastAsia="Times New Roman"/>
        </w:rPr>
      </w:pPr>
    </w:p>
    <w:p w14:paraId="4DF31AEF" w14:textId="1201C3F4" w:rsidR="00F80AA2" w:rsidRPr="003170E1" w:rsidRDefault="00F80AA2" w:rsidP="00F80AA2">
      <w:pPr>
        <w:ind w:left="0"/>
        <w:rPr>
          <w:rFonts w:eastAsia="Times New Roman"/>
        </w:rPr>
      </w:pPr>
      <w:r w:rsidRPr="003170E1">
        <w:rPr>
          <w:rFonts w:eastAsia="Times New Roman"/>
        </w:rPr>
        <w:t>Date:</w:t>
      </w:r>
    </w:p>
    <w:p w14:paraId="295D3FD6" w14:textId="77777777" w:rsidR="007C6DB9" w:rsidRPr="003170E1" w:rsidRDefault="007C6DB9" w:rsidP="00F80AA2">
      <w:pPr>
        <w:ind w:left="0"/>
        <w:rPr>
          <w:rFonts w:eastAsia="Times New Roman"/>
        </w:rPr>
      </w:pPr>
    </w:p>
    <w:p w14:paraId="7966CD28" w14:textId="09C253DA" w:rsidR="007C6DB9" w:rsidRPr="003170E1" w:rsidRDefault="007C6DB9" w:rsidP="00F80AA2">
      <w:pPr>
        <w:ind w:left="0"/>
        <w:rPr>
          <w:rFonts w:eastAsia="Calibri"/>
          <w:color w:val="000000"/>
        </w:rPr>
      </w:pPr>
      <w:r w:rsidRPr="003170E1">
        <w:rPr>
          <w:rFonts w:eastAsia="Calibri"/>
          <w:color w:val="000000"/>
        </w:rPr>
        <w:t xml:space="preserve">Dear </w:t>
      </w:r>
      <w:bookmarkStart w:id="94" w:name="_Hlk94087402"/>
      <w:r w:rsidRPr="00E95540">
        <w:rPr>
          <w:rFonts w:eastAsia="Calibri"/>
          <w:color w:val="FF0000"/>
        </w:rPr>
        <w:t xml:space="preserve">[insert </w:t>
      </w:r>
      <w:r w:rsidR="00E95540" w:rsidRPr="00E95540">
        <w:rPr>
          <w:rFonts w:eastAsia="Calibri"/>
          <w:color w:val="FF0000"/>
        </w:rPr>
        <w:t xml:space="preserve">individual’s </w:t>
      </w:r>
      <w:r w:rsidRPr="00E95540">
        <w:rPr>
          <w:rFonts w:eastAsia="Calibri"/>
          <w:color w:val="FF0000"/>
        </w:rPr>
        <w:t>nam</w:t>
      </w:r>
      <w:r w:rsidR="00E95540" w:rsidRPr="00E95540">
        <w:rPr>
          <w:rFonts w:eastAsia="Calibri"/>
          <w:color w:val="FF0000"/>
        </w:rPr>
        <w:t>e</w:t>
      </w:r>
      <w:r w:rsidRPr="00E95540">
        <w:rPr>
          <w:rFonts w:eastAsia="Calibri"/>
          <w:color w:val="FF0000"/>
        </w:rPr>
        <w:t xml:space="preserve">] </w:t>
      </w:r>
      <w:bookmarkEnd w:id="94"/>
    </w:p>
    <w:p w14:paraId="77D95E41" w14:textId="77777777" w:rsidR="007C6DB9" w:rsidRPr="00E95540" w:rsidRDefault="007C6DB9" w:rsidP="00F80AA2">
      <w:pPr>
        <w:ind w:left="0"/>
        <w:rPr>
          <w:rFonts w:eastAsia="Calibri"/>
          <w:b/>
          <w:bCs/>
        </w:rPr>
      </w:pPr>
      <w:r w:rsidRPr="00E95540">
        <w:rPr>
          <w:rFonts w:eastAsia="Calibri"/>
          <w:b/>
          <w:bCs/>
        </w:rPr>
        <w:t xml:space="preserve">Acknowledgement of Responsibilities Agreement </w:t>
      </w:r>
    </w:p>
    <w:p w14:paraId="6901E503" w14:textId="2A9532D6" w:rsidR="007C6DB9" w:rsidRDefault="007C6DB9" w:rsidP="00F80AA2">
      <w:pPr>
        <w:ind w:left="0"/>
        <w:rPr>
          <w:rFonts w:eastAsia="Calibri"/>
        </w:rPr>
      </w:pPr>
      <w:r>
        <w:rPr>
          <w:rFonts w:eastAsia="Calibri"/>
        </w:rPr>
        <w:t xml:space="preserve">This letter is to acknowledge the responsibilities between </w:t>
      </w:r>
      <w:r w:rsidR="00E95540" w:rsidRPr="00E95540">
        <w:rPr>
          <w:rFonts w:eastAsia="Calibri"/>
          <w:color w:val="FF0000"/>
        </w:rPr>
        <w:t>[</w:t>
      </w:r>
      <w:r w:rsidRPr="003170E1">
        <w:rPr>
          <w:rFonts w:eastAsia="Calibri"/>
          <w:color w:val="FF0000"/>
        </w:rPr>
        <w:t xml:space="preserve">insert </w:t>
      </w:r>
      <w:r w:rsidR="00E95540">
        <w:rPr>
          <w:rFonts w:eastAsia="Calibri"/>
          <w:color w:val="FF0000"/>
        </w:rPr>
        <w:t>individual’s</w:t>
      </w:r>
      <w:r w:rsidRPr="003170E1">
        <w:rPr>
          <w:rFonts w:eastAsia="Calibri"/>
          <w:color w:val="FF0000"/>
        </w:rPr>
        <w:t xml:space="preserve"> name]</w:t>
      </w:r>
      <w:r w:rsidRPr="003170E1">
        <w:rPr>
          <w:rFonts w:eastAsia="Calibri"/>
        </w:rPr>
        <w:t xml:space="preserve"> </w:t>
      </w:r>
      <w:r>
        <w:rPr>
          <w:rFonts w:eastAsia="Calibri"/>
        </w:rPr>
        <w:t xml:space="preserve">and </w:t>
      </w:r>
      <w:r w:rsidR="00E95540">
        <w:rPr>
          <w:rFonts w:eastAsia="Calibri"/>
        </w:rPr>
        <w:t xml:space="preserve">the </w:t>
      </w:r>
      <w:r>
        <w:rPr>
          <w:rFonts w:eastAsia="Calibri"/>
        </w:rPr>
        <w:t xml:space="preserve">Mid and South Essex </w:t>
      </w:r>
      <w:r w:rsidR="00E95540">
        <w:rPr>
          <w:rFonts w:eastAsia="Calibri"/>
        </w:rPr>
        <w:t>Integrated Care Board</w:t>
      </w:r>
      <w:r>
        <w:rPr>
          <w:rFonts w:eastAsia="Calibri"/>
        </w:rPr>
        <w:t xml:space="preserve"> (</w:t>
      </w:r>
      <w:r w:rsidR="00E95540">
        <w:rPr>
          <w:rFonts w:eastAsia="Calibri"/>
        </w:rPr>
        <w:t>the</w:t>
      </w:r>
      <w:r>
        <w:rPr>
          <w:rFonts w:eastAsia="Calibri"/>
        </w:rPr>
        <w:t xml:space="preserve"> ICB)</w:t>
      </w:r>
      <w:r w:rsidR="00E95540">
        <w:rPr>
          <w:rFonts w:eastAsia="Calibri"/>
        </w:rPr>
        <w:t>.</w:t>
      </w:r>
    </w:p>
    <w:p w14:paraId="08BB989B" w14:textId="21C76FDD" w:rsidR="007C6DB9" w:rsidRPr="003170E1" w:rsidRDefault="007C6DB9" w:rsidP="00F80AA2">
      <w:pPr>
        <w:ind w:left="0"/>
        <w:rPr>
          <w:rFonts w:eastAsia="Calibri"/>
        </w:rPr>
      </w:pPr>
      <w:r w:rsidRPr="003170E1">
        <w:rPr>
          <w:rFonts w:eastAsia="Calibri"/>
        </w:rPr>
        <w:t>I</w:t>
      </w:r>
      <w:r>
        <w:rPr>
          <w:rFonts w:eastAsia="Calibri"/>
        </w:rPr>
        <w:t xml:space="preserve"> am</w:t>
      </w:r>
      <w:r w:rsidRPr="003170E1">
        <w:rPr>
          <w:rFonts w:eastAsia="Calibri"/>
        </w:rPr>
        <w:t xml:space="preserve"> the </w:t>
      </w:r>
      <w:r w:rsidRPr="003170E1">
        <w:rPr>
          <w:rFonts w:eastAsia="Calibri"/>
          <w:color w:val="FF0000"/>
        </w:rPr>
        <w:t>[insert role/position in organisation]</w:t>
      </w:r>
      <w:r w:rsidRPr="003170E1">
        <w:rPr>
          <w:rFonts w:eastAsia="Calibri"/>
        </w:rPr>
        <w:t xml:space="preserve"> </w:t>
      </w:r>
      <w:r>
        <w:rPr>
          <w:rFonts w:eastAsia="Calibri"/>
        </w:rPr>
        <w:t xml:space="preserve">for </w:t>
      </w:r>
      <w:r w:rsidR="00E95540">
        <w:rPr>
          <w:rFonts w:eastAsia="Calibri"/>
        </w:rPr>
        <w:t>the</w:t>
      </w:r>
      <w:r>
        <w:rPr>
          <w:rFonts w:eastAsia="Calibri"/>
        </w:rPr>
        <w:t xml:space="preserve"> ICB</w:t>
      </w:r>
      <w:r w:rsidRPr="003170E1">
        <w:rPr>
          <w:rFonts w:eastAsia="Calibri"/>
        </w:rPr>
        <w:t xml:space="preserve">. One of my roles is to protect NHS staff from abusive and violent behaviour and NHS resources from misuse and it is in connection with this that I am writing to you. </w:t>
      </w:r>
    </w:p>
    <w:p w14:paraId="1FDA3718" w14:textId="2ADF74A8" w:rsidR="007C6DB9" w:rsidRPr="003170E1" w:rsidRDefault="007C6DB9" w:rsidP="00F80AA2">
      <w:pPr>
        <w:ind w:left="0"/>
        <w:rPr>
          <w:rFonts w:eastAsia="Calibri"/>
        </w:rPr>
      </w:pPr>
      <w:bookmarkStart w:id="95" w:name="_Hlk102393274"/>
      <w:r w:rsidRPr="003170E1">
        <w:rPr>
          <w:rFonts w:eastAsia="Calibri"/>
          <w:color w:val="000000"/>
        </w:rPr>
        <w:t xml:space="preserve">I have received a report where it is alleged that on </w:t>
      </w:r>
      <w:r w:rsidRPr="003170E1">
        <w:rPr>
          <w:rFonts w:eastAsia="Calibri"/>
        </w:rPr>
        <w:t>[insert date(s) of incident(s)</w:t>
      </w:r>
      <w:r w:rsidR="00E95540">
        <w:rPr>
          <w:rFonts w:eastAsia="Calibri"/>
        </w:rPr>
        <w:t xml:space="preserve">] you </w:t>
      </w:r>
      <w:r w:rsidR="00E95540" w:rsidRPr="00E95540">
        <w:rPr>
          <w:rFonts w:eastAsia="Calibri"/>
          <w:color w:val="FF0000"/>
        </w:rPr>
        <w:t>[insert</w:t>
      </w:r>
      <w:r w:rsidRPr="00E95540">
        <w:rPr>
          <w:rFonts w:eastAsia="Calibri"/>
          <w:color w:val="FF0000"/>
        </w:rPr>
        <w:t xml:space="preserve"> a brief description of behaviour]</w:t>
      </w:r>
      <w:r w:rsidRPr="003170E1">
        <w:rPr>
          <w:rFonts w:eastAsia="Calibri"/>
        </w:rPr>
        <w:t xml:space="preserve">. </w:t>
      </w:r>
    </w:p>
    <w:p w14:paraId="05822970" w14:textId="5CB31981" w:rsidR="007C6DB9" w:rsidRPr="003170E1" w:rsidRDefault="00E95540" w:rsidP="00F80AA2">
      <w:pPr>
        <w:ind w:left="0"/>
        <w:rPr>
          <w:rFonts w:eastAsia="Calibri"/>
        </w:rPr>
      </w:pPr>
      <w:r>
        <w:rPr>
          <w:rFonts w:eastAsia="Calibri"/>
          <w:color w:val="000000"/>
        </w:rPr>
        <w:t xml:space="preserve">You have previously been advised on </w:t>
      </w:r>
      <w:r w:rsidR="007C6DB9" w:rsidRPr="00E95540">
        <w:rPr>
          <w:rFonts w:eastAsia="Calibri"/>
          <w:color w:val="FF0000"/>
        </w:rPr>
        <w:t xml:space="preserve">[insert details of when the individual received the informal </w:t>
      </w:r>
      <w:r>
        <w:rPr>
          <w:rFonts w:eastAsia="Calibri"/>
          <w:color w:val="FF0000"/>
        </w:rPr>
        <w:t xml:space="preserve">and/or verbal </w:t>
      </w:r>
      <w:r w:rsidR="007C6DB9" w:rsidRPr="00E95540">
        <w:rPr>
          <w:rFonts w:eastAsia="Calibri"/>
          <w:color w:val="FF0000"/>
        </w:rPr>
        <w:t>warning]</w:t>
      </w:r>
      <w:r w:rsidRPr="00E95540">
        <w:rPr>
          <w:rFonts w:eastAsia="Calibri"/>
        </w:rPr>
        <w:t xml:space="preserve"> </w:t>
      </w:r>
      <w:r>
        <w:rPr>
          <w:rFonts w:eastAsia="Calibri"/>
        </w:rPr>
        <w:t>b</w:t>
      </w:r>
      <w:r w:rsidRPr="003170E1">
        <w:rPr>
          <w:rFonts w:eastAsia="Calibri"/>
        </w:rPr>
        <w:t xml:space="preserve">ehaviour such as this in unacceptable and will not be tolerated. </w:t>
      </w:r>
      <w:r w:rsidR="007C6DB9" w:rsidRPr="003170E1">
        <w:rPr>
          <w:rFonts w:eastAsia="Calibri"/>
          <w:color w:val="000000"/>
        </w:rPr>
        <w:t xml:space="preserve"> </w:t>
      </w:r>
      <w:r w:rsidR="007C6DB9" w:rsidRPr="003170E1">
        <w:rPr>
          <w:rFonts w:eastAsia="Calibri"/>
        </w:rPr>
        <w:t xml:space="preserve">The </w:t>
      </w:r>
      <w:r w:rsidR="007C6DB9">
        <w:rPr>
          <w:rFonts w:eastAsia="Calibri"/>
        </w:rPr>
        <w:t>ICB</w:t>
      </w:r>
      <w:r w:rsidR="007C6DB9" w:rsidRPr="003170E1">
        <w:rPr>
          <w:rFonts w:eastAsia="Calibri"/>
        </w:rPr>
        <w:t xml:space="preserve"> is firmly of the view that all those who work in or provide services to the NHS have the right to do so without fear of violence or abuse. </w:t>
      </w:r>
    </w:p>
    <w:bookmarkEnd w:id="95"/>
    <w:p w14:paraId="65950400" w14:textId="65BDA268" w:rsidR="00E95540" w:rsidRDefault="007C6DB9" w:rsidP="00F80AA2">
      <w:pPr>
        <w:ind w:left="0"/>
        <w:rPr>
          <w:rFonts w:eastAsia="Calibri"/>
          <w:color w:val="FF0000"/>
        </w:rPr>
      </w:pPr>
      <w:r>
        <w:rPr>
          <w:rFonts w:eastAsia="Calibri"/>
          <w:color w:val="000000"/>
        </w:rPr>
        <w:t xml:space="preserve">You are urged to comply with the conditions discussed when you </w:t>
      </w:r>
      <w:r w:rsidR="00E95540">
        <w:rPr>
          <w:rFonts w:eastAsia="Calibri"/>
          <w:color w:val="000000"/>
        </w:rPr>
        <w:t>were</w:t>
      </w:r>
      <w:r>
        <w:rPr>
          <w:rFonts w:eastAsia="Calibri"/>
          <w:color w:val="000000"/>
        </w:rPr>
        <w:t xml:space="preserve"> given the verbal warning as follows:</w:t>
      </w:r>
    </w:p>
    <w:p w14:paraId="1C747B14" w14:textId="297D8903" w:rsidR="00E95540" w:rsidRDefault="00E95540" w:rsidP="00F80AA2">
      <w:pPr>
        <w:ind w:left="0"/>
        <w:rPr>
          <w:rFonts w:eastAsia="Calibri"/>
          <w:color w:val="FF0000"/>
        </w:rPr>
      </w:pPr>
      <w:r w:rsidRPr="003170E1">
        <w:rPr>
          <w:rFonts w:eastAsia="Calibri"/>
          <w:color w:val="FF0000"/>
        </w:rPr>
        <w:t>[</w:t>
      </w:r>
      <w:r>
        <w:rPr>
          <w:rFonts w:eastAsia="Calibri"/>
          <w:color w:val="FF0000"/>
        </w:rPr>
        <w:t>List</w:t>
      </w:r>
      <w:r w:rsidRPr="003170E1">
        <w:rPr>
          <w:rFonts w:eastAsia="Calibri"/>
          <w:color w:val="FF0000"/>
        </w:rPr>
        <w:t xml:space="preserve"> </w:t>
      </w:r>
      <w:r>
        <w:rPr>
          <w:rFonts w:eastAsia="Calibri"/>
          <w:color w:val="FF0000"/>
        </w:rPr>
        <w:t>details of agreed conditions]</w:t>
      </w:r>
    </w:p>
    <w:p w14:paraId="6D7C5F5D" w14:textId="20C764D8" w:rsidR="007C6DB9" w:rsidRPr="004B6BC2" w:rsidRDefault="007C6DB9" w:rsidP="00F80AA2">
      <w:pPr>
        <w:ind w:left="0"/>
        <w:rPr>
          <w:rFonts w:eastAsia="Calibri"/>
        </w:rPr>
      </w:pPr>
      <w:r w:rsidRPr="004B6BC2">
        <w:rPr>
          <w:rFonts w:eastAsia="Calibri"/>
        </w:rPr>
        <w:t>If you fail to act in accordance with</w:t>
      </w:r>
      <w:r>
        <w:rPr>
          <w:rFonts w:eastAsia="Calibri"/>
        </w:rPr>
        <w:t xml:space="preserve"> these conditions and continue to demonstrate unacceptable behaviour, I will have no option but to consider taking one of the following actions against you: </w:t>
      </w:r>
      <w:r>
        <w:rPr>
          <w:rFonts w:eastAsia="Calibri"/>
          <w:color w:val="FF0000"/>
        </w:rPr>
        <w:t xml:space="preserve"> </w:t>
      </w:r>
    </w:p>
    <w:p w14:paraId="57635D08" w14:textId="237F97F5" w:rsidR="007C6DB9" w:rsidRPr="002C3215" w:rsidRDefault="007C6DB9" w:rsidP="00B40E4E">
      <w:pPr>
        <w:pStyle w:val="ListParagraph"/>
        <w:numPr>
          <w:ilvl w:val="0"/>
          <w:numId w:val="40"/>
        </w:numPr>
        <w:ind w:left="567"/>
      </w:pPr>
      <w:r w:rsidRPr="002C3215">
        <w:t xml:space="preserve">The withdrawal of </w:t>
      </w:r>
      <w:r w:rsidR="00E95540">
        <w:t>services by the ICB.</w:t>
      </w:r>
    </w:p>
    <w:p w14:paraId="19F4EBA1" w14:textId="67800012" w:rsidR="007C6DB9" w:rsidRPr="002C3215" w:rsidRDefault="00E95540" w:rsidP="00B40E4E">
      <w:pPr>
        <w:pStyle w:val="ListParagraph"/>
        <w:numPr>
          <w:ilvl w:val="0"/>
          <w:numId w:val="40"/>
        </w:numPr>
        <w:ind w:left="567"/>
      </w:pPr>
      <w:r>
        <w:t>W</w:t>
      </w:r>
      <w:r w:rsidRPr="002C3215">
        <w:t>here your behaviour constitutes a criminal offence</w:t>
      </w:r>
      <w:r>
        <w:t>, r</w:t>
      </w:r>
      <w:r w:rsidR="007C6DB9" w:rsidRPr="002C3215">
        <w:t xml:space="preserve">eporting </w:t>
      </w:r>
      <w:r>
        <w:t xml:space="preserve">this to </w:t>
      </w:r>
      <w:r w:rsidR="007C6DB9" w:rsidRPr="002C3215">
        <w:t xml:space="preserve">the police and fully supporting any prosecution they may pursue. </w:t>
      </w:r>
    </w:p>
    <w:p w14:paraId="64002C4B" w14:textId="188FA7CC" w:rsidR="007C6DB9" w:rsidRPr="002C3215" w:rsidRDefault="007C6DB9" w:rsidP="00B40E4E">
      <w:pPr>
        <w:pStyle w:val="ListParagraph"/>
        <w:numPr>
          <w:ilvl w:val="0"/>
          <w:numId w:val="40"/>
        </w:numPr>
        <w:ind w:left="567"/>
      </w:pPr>
      <w:r w:rsidRPr="002C3215">
        <w:t>Consideration of a private criminal prosecution or civil legal action</w:t>
      </w:r>
      <w:r w:rsidR="00E95540">
        <w:t>.</w:t>
      </w:r>
    </w:p>
    <w:p w14:paraId="026B1B8B" w14:textId="77777777" w:rsidR="007C6DB9" w:rsidRPr="003170E1" w:rsidRDefault="007C6DB9" w:rsidP="00F80AA2">
      <w:pPr>
        <w:ind w:left="0"/>
        <w:rPr>
          <w:rFonts w:eastAsia="Calibri"/>
        </w:rPr>
      </w:pPr>
      <w:r w:rsidRPr="003170E1">
        <w:rPr>
          <w:rFonts w:eastAsia="Calibri"/>
        </w:rPr>
        <w:t xml:space="preserve">If any legal action is necessary, any costs incurred will be sought from you and these may be considerable. </w:t>
      </w:r>
    </w:p>
    <w:p w14:paraId="620C5060" w14:textId="19035208" w:rsidR="007C6DB9" w:rsidRPr="003170E1" w:rsidRDefault="007C6DB9" w:rsidP="00F80AA2">
      <w:pPr>
        <w:ind w:left="0"/>
        <w:rPr>
          <w:rFonts w:eastAsia="Calibri"/>
        </w:rPr>
      </w:pPr>
      <w:r w:rsidRPr="003170E1">
        <w:rPr>
          <w:rFonts w:eastAsia="Calibri"/>
        </w:rPr>
        <w:t>A copy of this letter</w:t>
      </w:r>
      <w:r>
        <w:rPr>
          <w:rFonts w:eastAsia="Calibri"/>
        </w:rPr>
        <w:t xml:space="preserve"> is attached.  Please sign and return the copy letter and return to me to acknowledge that you have read and understood the above warning </w:t>
      </w:r>
      <w:r w:rsidR="00E95540">
        <w:rPr>
          <w:rFonts w:eastAsia="Calibri"/>
        </w:rPr>
        <w:t xml:space="preserve">and </w:t>
      </w:r>
      <w:r>
        <w:rPr>
          <w:rFonts w:eastAsia="Calibri"/>
        </w:rPr>
        <w:t>that you agree to comply with the conditions listed.</w:t>
      </w:r>
      <w:r w:rsidRPr="003170E1">
        <w:rPr>
          <w:rFonts w:eastAsia="Calibri"/>
        </w:rPr>
        <w:t xml:space="preserve"> If you do not </w:t>
      </w:r>
      <w:r>
        <w:rPr>
          <w:rFonts w:eastAsia="Calibri"/>
        </w:rPr>
        <w:t>reply within fourteen days, I will assume tacit agreement.</w:t>
      </w:r>
    </w:p>
    <w:p w14:paraId="0D746B84" w14:textId="77777777" w:rsidR="007C6DB9" w:rsidRPr="003170E1" w:rsidRDefault="007C6DB9" w:rsidP="00F80AA2">
      <w:pPr>
        <w:ind w:left="0"/>
        <w:rPr>
          <w:rFonts w:eastAsia="Times New Roman"/>
        </w:rPr>
      </w:pPr>
      <w:r w:rsidRPr="003170E1">
        <w:rPr>
          <w:rFonts w:eastAsia="Times New Roman"/>
        </w:rPr>
        <w:t xml:space="preserve">Yours </w:t>
      </w:r>
      <w:r>
        <w:rPr>
          <w:rFonts w:eastAsia="Times New Roman"/>
        </w:rPr>
        <w:t>faithfully</w:t>
      </w:r>
      <w:r w:rsidRPr="003170E1">
        <w:rPr>
          <w:rFonts w:eastAsia="Times New Roman"/>
        </w:rPr>
        <w:t xml:space="preserve"> </w:t>
      </w:r>
    </w:p>
    <w:p w14:paraId="464D5C01" w14:textId="77777777" w:rsidR="007C6DB9" w:rsidRPr="003170E1" w:rsidRDefault="007C6DB9" w:rsidP="00F80AA2">
      <w:pPr>
        <w:ind w:left="0"/>
        <w:rPr>
          <w:rFonts w:eastAsia="Times New Roman"/>
        </w:rPr>
      </w:pPr>
    </w:p>
    <w:p w14:paraId="20CF5CEB" w14:textId="69C2CEAF" w:rsidR="007C6DB9" w:rsidRPr="003170E1" w:rsidRDefault="002C124D" w:rsidP="00F80AA2">
      <w:pPr>
        <w:ind w:left="0"/>
        <w:rPr>
          <w:rFonts w:eastAsia="Times New Roman"/>
        </w:rPr>
      </w:pPr>
      <w:r>
        <w:rPr>
          <w:rFonts w:eastAsia="Calibri"/>
          <w:color w:val="FF0000"/>
        </w:rPr>
        <w:t>N</w:t>
      </w:r>
      <w:r w:rsidR="007C6DB9" w:rsidRPr="00E95540">
        <w:rPr>
          <w:rFonts w:eastAsia="Calibri"/>
          <w:color w:val="FF0000"/>
        </w:rPr>
        <w:t xml:space="preserve">ame and </w:t>
      </w:r>
      <w:r>
        <w:rPr>
          <w:rFonts w:eastAsia="Calibri"/>
          <w:color w:val="FF0000"/>
        </w:rPr>
        <w:t>D</w:t>
      </w:r>
      <w:r w:rsidR="007C6DB9" w:rsidRPr="00E95540">
        <w:rPr>
          <w:rFonts w:eastAsia="Calibri"/>
          <w:color w:val="FF0000"/>
        </w:rPr>
        <w:t>esignation</w:t>
      </w:r>
    </w:p>
    <w:p w14:paraId="4E2C72F2" w14:textId="08CCB120" w:rsidR="00F80AA2" w:rsidRDefault="00B40E4E" w:rsidP="00F80AA2">
      <w:pPr>
        <w:ind w:left="0"/>
        <w:rPr>
          <w:rFonts w:eastAsia="Times New Roman"/>
        </w:rPr>
      </w:pPr>
      <w:r>
        <w:rPr>
          <w:rFonts w:eastAsia="Times New Roman"/>
        </w:rPr>
        <w:t>c.</w:t>
      </w:r>
      <w:r w:rsidR="007C6DB9" w:rsidRPr="009B275F">
        <w:rPr>
          <w:rFonts w:eastAsia="Times New Roman"/>
        </w:rPr>
        <w:t>c</w:t>
      </w:r>
      <w:r>
        <w:rPr>
          <w:rFonts w:eastAsia="Times New Roman"/>
        </w:rPr>
        <w:t>.</w:t>
      </w:r>
      <w:r w:rsidR="007C6DB9" w:rsidRPr="009B275F">
        <w:rPr>
          <w:rFonts w:eastAsia="Times New Roman"/>
        </w:rPr>
        <w:t xml:space="preserve"> – </w:t>
      </w:r>
      <w:r w:rsidRPr="00B40E4E">
        <w:rPr>
          <w:rFonts w:eastAsia="Times New Roman"/>
          <w:color w:val="FF0000"/>
        </w:rPr>
        <w:t>C</w:t>
      </w:r>
      <w:r w:rsidR="007C6DB9" w:rsidRPr="00B40E4E">
        <w:rPr>
          <w:rFonts w:eastAsia="Times New Roman"/>
          <w:color w:val="FF0000"/>
        </w:rPr>
        <w:t>omplete as appropriate</w:t>
      </w:r>
      <w:r w:rsidR="00F80AA2">
        <w:rPr>
          <w:rFonts w:eastAsia="Times New Roman"/>
        </w:rPr>
        <w:br w:type="page"/>
      </w:r>
    </w:p>
    <w:p w14:paraId="1A428402" w14:textId="3D175D43" w:rsidR="007C6DB9" w:rsidRPr="00986929" w:rsidRDefault="007C6DB9" w:rsidP="00F80AA2">
      <w:pPr>
        <w:pStyle w:val="Heading2"/>
        <w:numPr>
          <w:ilvl w:val="0"/>
          <w:numId w:val="0"/>
        </w:numPr>
        <w:ind w:left="1134" w:hanging="1134"/>
      </w:pPr>
      <w:bookmarkStart w:id="96" w:name="_Toc96950652"/>
      <w:bookmarkStart w:id="97" w:name="_Toc96950680"/>
      <w:bookmarkStart w:id="98" w:name="_Toc96950767"/>
      <w:bookmarkStart w:id="99" w:name="_Toc96950896"/>
      <w:bookmarkStart w:id="100" w:name="_Toc99360153"/>
      <w:bookmarkStart w:id="101" w:name="_Toc111190884"/>
      <w:r w:rsidRPr="003170E1">
        <w:t xml:space="preserve">APPENDIX </w:t>
      </w:r>
      <w:r>
        <w:t>D</w:t>
      </w:r>
      <w:bookmarkEnd w:id="96"/>
      <w:bookmarkEnd w:id="97"/>
      <w:bookmarkEnd w:id="98"/>
      <w:bookmarkEnd w:id="99"/>
      <w:r>
        <w:t xml:space="preserve"> – Final warning letter</w:t>
      </w:r>
      <w:r w:rsidR="002C124D">
        <w:t xml:space="preserve"> – withdrawal of services</w:t>
      </w:r>
      <w:bookmarkEnd w:id="100"/>
      <w:bookmarkEnd w:id="101"/>
    </w:p>
    <w:p w14:paraId="4AEA71AD" w14:textId="77777777" w:rsidR="002C124D" w:rsidRDefault="002C124D" w:rsidP="002C124D">
      <w:pPr>
        <w:ind w:left="0"/>
        <w:rPr>
          <w:rFonts w:eastAsia="Times New Roman"/>
          <w:color w:val="FF0000"/>
        </w:rPr>
      </w:pPr>
    </w:p>
    <w:p w14:paraId="3D04E96E" w14:textId="7CFB2C96" w:rsidR="002C124D" w:rsidRPr="00E95540" w:rsidRDefault="002C124D" w:rsidP="00B40E4E">
      <w:pPr>
        <w:spacing w:after="0"/>
        <w:ind w:left="0"/>
        <w:rPr>
          <w:rFonts w:eastAsia="Times New Roman"/>
          <w:color w:val="FF0000"/>
        </w:rPr>
      </w:pPr>
      <w:bookmarkStart w:id="102" w:name="_Hlk102393702"/>
      <w:r w:rsidRPr="00E95540">
        <w:rPr>
          <w:rFonts w:eastAsia="Times New Roman"/>
          <w:color w:val="FF0000"/>
        </w:rPr>
        <w:t xml:space="preserve">Individual’s name: </w:t>
      </w:r>
    </w:p>
    <w:p w14:paraId="007BF7A8" w14:textId="77777777" w:rsidR="002C124D" w:rsidRPr="00E95540" w:rsidRDefault="002C124D" w:rsidP="00B40E4E">
      <w:pPr>
        <w:spacing w:before="0"/>
        <w:ind w:left="0"/>
        <w:rPr>
          <w:rFonts w:eastAsia="Times New Roman"/>
          <w:color w:val="FF0000"/>
        </w:rPr>
      </w:pPr>
      <w:r w:rsidRPr="00E95540">
        <w:rPr>
          <w:rFonts w:eastAsia="Times New Roman"/>
          <w:color w:val="FF0000"/>
        </w:rPr>
        <w:t xml:space="preserve">Individual’s address:  </w:t>
      </w:r>
    </w:p>
    <w:bookmarkEnd w:id="102"/>
    <w:p w14:paraId="2ED8A194" w14:textId="77777777" w:rsidR="002C124D" w:rsidRDefault="002C124D" w:rsidP="002C124D">
      <w:pPr>
        <w:ind w:left="0"/>
        <w:rPr>
          <w:rFonts w:eastAsia="Times New Roman"/>
        </w:rPr>
      </w:pPr>
    </w:p>
    <w:p w14:paraId="13D69260" w14:textId="1DB8B47B" w:rsidR="007C6DB9" w:rsidRDefault="002C124D" w:rsidP="002C124D">
      <w:pPr>
        <w:ind w:left="0"/>
        <w:rPr>
          <w:rFonts w:eastAsia="Times New Roman"/>
        </w:rPr>
      </w:pPr>
      <w:r w:rsidRPr="003170E1">
        <w:rPr>
          <w:rFonts w:eastAsia="Times New Roman"/>
        </w:rPr>
        <w:t>Date:</w:t>
      </w:r>
    </w:p>
    <w:p w14:paraId="51F092F9" w14:textId="77777777" w:rsidR="00B40E4E" w:rsidRPr="003170E1" w:rsidRDefault="00B40E4E" w:rsidP="002C124D">
      <w:pPr>
        <w:ind w:left="0"/>
        <w:rPr>
          <w:rFonts w:eastAsia="Times New Roman"/>
        </w:rPr>
      </w:pPr>
    </w:p>
    <w:p w14:paraId="29BA1916" w14:textId="04DE209E" w:rsidR="007C6DB9" w:rsidRPr="003170E1" w:rsidRDefault="007C6DB9" w:rsidP="002C124D">
      <w:pPr>
        <w:ind w:left="0"/>
        <w:rPr>
          <w:rFonts w:eastAsia="Calibri"/>
        </w:rPr>
      </w:pPr>
      <w:r w:rsidRPr="003170E1">
        <w:rPr>
          <w:rFonts w:eastAsia="Calibri"/>
          <w:color w:val="000000"/>
        </w:rPr>
        <w:t xml:space="preserve">Dear </w:t>
      </w:r>
      <w:r w:rsidRPr="002C124D">
        <w:rPr>
          <w:rFonts w:eastAsia="Calibri"/>
          <w:color w:val="FF0000"/>
        </w:rPr>
        <w:t>[</w:t>
      </w:r>
      <w:r w:rsidR="002C124D" w:rsidRPr="002C124D">
        <w:rPr>
          <w:rFonts w:eastAsia="Calibri"/>
          <w:color w:val="FF0000"/>
        </w:rPr>
        <w:t>I</w:t>
      </w:r>
      <w:r w:rsidRPr="002C124D">
        <w:rPr>
          <w:rFonts w:eastAsia="Calibri"/>
          <w:color w:val="FF0000"/>
        </w:rPr>
        <w:t xml:space="preserve">nsert </w:t>
      </w:r>
      <w:r w:rsidR="002C124D" w:rsidRPr="002C124D">
        <w:rPr>
          <w:rFonts w:eastAsia="Calibri"/>
          <w:color w:val="FF0000"/>
        </w:rPr>
        <w:t xml:space="preserve">individual’s </w:t>
      </w:r>
      <w:r w:rsidRPr="002C124D">
        <w:rPr>
          <w:rFonts w:eastAsia="Calibri"/>
          <w:color w:val="FF0000"/>
        </w:rPr>
        <w:t>name]</w:t>
      </w:r>
      <w:r w:rsidRPr="003170E1">
        <w:rPr>
          <w:rFonts w:eastAsia="Calibri"/>
        </w:rPr>
        <w:t xml:space="preserve"> </w:t>
      </w:r>
    </w:p>
    <w:p w14:paraId="63611AE9" w14:textId="77777777" w:rsidR="007C6DB9" w:rsidRPr="00B40E4E" w:rsidRDefault="007C6DB9" w:rsidP="002C124D">
      <w:pPr>
        <w:ind w:left="0"/>
        <w:rPr>
          <w:rFonts w:eastAsia="Calibri"/>
          <w:b/>
          <w:bCs/>
        </w:rPr>
      </w:pPr>
      <w:r w:rsidRPr="00B40E4E">
        <w:rPr>
          <w:rFonts w:eastAsia="Calibri"/>
          <w:b/>
          <w:bCs/>
        </w:rPr>
        <w:t xml:space="preserve">Unacceptable behaviour – Final Warning </w:t>
      </w:r>
    </w:p>
    <w:p w14:paraId="1F524625" w14:textId="525EE3D6" w:rsidR="007C6DB9" w:rsidRPr="003170E1" w:rsidRDefault="007C6DB9" w:rsidP="002C124D">
      <w:pPr>
        <w:ind w:left="0"/>
        <w:rPr>
          <w:rFonts w:eastAsia="Calibri"/>
        </w:rPr>
      </w:pPr>
      <w:r w:rsidRPr="003170E1">
        <w:rPr>
          <w:rFonts w:eastAsia="Calibri"/>
        </w:rPr>
        <w:t xml:space="preserve">I am </w:t>
      </w:r>
      <w:r w:rsidRPr="003170E1">
        <w:rPr>
          <w:rFonts w:eastAsia="Calibri"/>
          <w:color w:val="FF0000"/>
        </w:rPr>
        <w:t>[insert your name]</w:t>
      </w:r>
      <w:r w:rsidRPr="003170E1">
        <w:rPr>
          <w:rFonts w:eastAsia="Calibri"/>
        </w:rPr>
        <w:t xml:space="preserve"> and I am the </w:t>
      </w:r>
      <w:r w:rsidRPr="003170E1">
        <w:rPr>
          <w:rFonts w:eastAsia="Calibri"/>
          <w:color w:val="FF0000"/>
        </w:rPr>
        <w:t>[insert role/position in organisation]</w:t>
      </w:r>
      <w:r w:rsidRPr="003170E1">
        <w:rPr>
          <w:rFonts w:eastAsia="Calibri"/>
        </w:rPr>
        <w:t xml:space="preserve"> for </w:t>
      </w:r>
      <w:r w:rsidR="002C124D">
        <w:rPr>
          <w:rFonts w:eastAsia="Calibri"/>
        </w:rPr>
        <w:t xml:space="preserve">the </w:t>
      </w:r>
      <w:r>
        <w:rPr>
          <w:rFonts w:eastAsia="Calibri"/>
        </w:rPr>
        <w:t xml:space="preserve">Mid and South Essex </w:t>
      </w:r>
      <w:r w:rsidR="002C124D">
        <w:rPr>
          <w:rFonts w:eastAsia="Calibri"/>
        </w:rPr>
        <w:t xml:space="preserve">Integrated Care Board </w:t>
      </w:r>
      <w:r>
        <w:rPr>
          <w:rFonts w:eastAsia="Calibri"/>
        </w:rPr>
        <w:t>(</w:t>
      </w:r>
      <w:r w:rsidR="002C124D">
        <w:rPr>
          <w:rFonts w:eastAsia="Calibri"/>
        </w:rPr>
        <w:t>the</w:t>
      </w:r>
      <w:r>
        <w:rPr>
          <w:rFonts w:eastAsia="Calibri"/>
        </w:rPr>
        <w:t xml:space="preserve"> ICB)</w:t>
      </w:r>
      <w:r w:rsidRPr="003170E1">
        <w:rPr>
          <w:rFonts w:eastAsia="Calibri"/>
        </w:rPr>
        <w:t xml:space="preserve">. One of my roles is to protect NHS staff from abusive and violent behaviour and NHS resources from misuse and it is in connection with this that I am writing to you. </w:t>
      </w:r>
    </w:p>
    <w:p w14:paraId="46116A7E" w14:textId="77777777" w:rsidR="002C124D" w:rsidRPr="002C124D" w:rsidRDefault="002C124D" w:rsidP="002C124D">
      <w:pPr>
        <w:ind w:left="0"/>
        <w:rPr>
          <w:rFonts w:eastAsia="Calibri"/>
          <w:color w:val="000000"/>
        </w:rPr>
      </w:pPr>
      <w:r w:rsidRPr="002C124D">
        <w:rPr>
          <w:rFonts w:eastAsia="Calibri"/>
          <w:color w:val="000000"/>
        </w:rPr>
        <w:t xml:space="preserve">I have received a report where it is alleged that on </w:t>
      </w:r>
      <w:r w:rsidRPr="002C124D">
        <w:rPr>
          <w:rFonts w:eastAsia="Calibri"/>
          <w:color w:val="FF0000"/>
        </w:rPr>
        <w:t xml:space="preserve">[insert date(s) of incident(s)] </w:t>
      </w:r>
      <w:r w:rsidRPr="002C124D">
        <w:rPr>
          <w:rFonts w:eastAsia="Calibri"/>
          <w:color w:val="000000"/>
        </w:rPr>
        <w:t xml:space="preserve">you </w:t>
      </w:r>
      <w:r w:rsidRPr="002C124D">
        <w:rPr>
          <w:rFonts w:eastAsia="Calibri"/>
          <w:color w:val="FF0000"/>
        </w:rPr>
        <w:t>[insert a brief description of behaviour]</w:t>
      </w:r>
      <w:r w:rsidRPr="002C124D">
        <w:rPr>
          <w:rFonts w:eastAsia="Calibri"/>
          <w:color w:val="000000"/>
        </w:rPr>
        <w:t xml:space="preserve">. </w:t>
      </w:r>
    </w:p>
    <w:p w14:paraId="0BB0B28B" w14:textId="4F00C644" w:rsidR="002C124D" w:rsidRDefault="002C124D" w:rsidP="002C124D">
      <w:pPr>
        <w:ind w:left="0"/>
        <w:rPr>
          <w:rFonts w:eastAsia="Calibri"/>
          <w:color w:val="000000"/>
        </w:rPr>
      </w:pPr>
      <w:r w:rsidRPr="002C124D">
        <w:rPr>
          <w:rFonts w:eastAsia="Calibri"/>
          <w:color w:val="000000"/>
        </w:rPr>
        <w:t xml:space="preserve">You have previously been advised </w:t>
      </w:r>
      <w:r>
        <w:rPr>
          <w:rFonts w:eastAsia="Calibri"/>
          <w:color w:val="000000"/>
        </w:rPr>
        <w:t>that</w:t>
      </w:r>
      <w:r w:rsidRPr="002C124D">
        <w:rPr>
          <w:rFonts w:eastAsia="Calibri"/>
          <w:color w:val="000000"/>
        </w:rPr>
        <w:t xml:space="preserve"> behaviour such as this in unacceptable and will not be tolerated.  The ICB is firmly of the view that all those who work in or provide services to the NHS have the right to do so without fear of violence or abuse.</w:t>
      </w:r>
      <w:r w:rsidRPr="002C124D">
        <w:rPr>
          <w:rFonts w:eastAsia="Calibri"/>
        </w:rPr>
        <w:t xml:space="preserve"> </w:t>
      </w:r>
      <w:r>
        <w:rPr>
          <w:rFonts w:eastAsia="Calibri"/>
        </w:rPr>
        <w:t xml:space="preserve">This was made clear to you in the letter dated </w:t>
      </w:r>
      <w:r w:rsidRPr="003170E1">
        <w:rPr>
          <w:rFonts w:eastAsia="Calibri"/>
          <w:color w:val="FF0000"/>
        </w:rPr>
        <w:t>[inse</w:t>
      </w:r>
      <w:r>
        <w:rPr>
          <w:rFonts w:eastAsia="Calibri"/>
          <w:color w:val="FF0000"/>
        </w:rPr>
        <w:t>rt date of first warning letter</w:t>
      </w:r>
      <w:r w:rsidRPr="003170E1">
        <w:rPr>
          <w:rFonts w:eastAsia="Calibri"/>
          <w:color w:val="FF0000"/>
        </w:rPr>
        <w:t>]</w:t>
      </w:r>
      <w:r>
        <w:rPr>
          <w:rFonts w:eastAsia="Calibri"/>
          <w:color w:val="FF0000"/>
        </w:rPr>
        <w:t xml:space="preserve"> </w:t>
      </w:r>
      <w:r w:rsidRPr="00755835">
        <w:rPr>
          <w:rFonts w:eastAsia="Calibri"/>
        </w:rPr>
        <w:t xml:space="preserve">and a copy is enclosed for your </w:t>
      </w:r>
      <w:r>
        <w:rPr>
          <w:rFonts w:eastAsia="Calibri"/>
        </w:rPr>
        <w:t>information.</w:t>
      </w:r>
    </w:p>
    <w:p w14:paraId="16DAA667" w14:textId="77777777" w:rsidR="007C6DB9" w:rsidRPr="00B22BDF" w:rsidRDefault="007C6DB9" w:rsidP="002C124D">
      <w:pPr>
        <w:ind w:left="0"/>
        <w:rPr>
          <w:rFonts w:eastAsia="Calibri"/>
        </w:rPr>
      </w:pPr>
      <w:r w:rsidRPr="00B22BDF">
        <w:rPr>
          <w:rFonts w:eastAsia="Calibri"/>
        </w:rPr>
        <w:t>If you continue to act in accordance with the conditions agreed, your care will not be affected.  However, if there is any repetition of your unacceptable behaviour consideration will be taken for one or more of the following actions:</w:t>
      </w:r>
    </w:p>
    <w:p w14:paraId="5D2E820D" w14:textId="337AAA83" w:rsidR="007C6DB9" w:rsidRPr="002C3215" w:rsidRDefault="007C6DB9" w:rsidP="00B40E4E">
      <w:pPr>
        <w:pStyle w:val="ListParagraph"/>
        <w:numPr>
          <w:ilvl w:val="0"/>
          <w:numId w:val="42"/>
        </w:numPr>
        <w:ind w:left="567"/>
      </w:pPr>
      <w:r w:rsidRPr="002C3215">
        <w:t xml:space="preserve">The withdrawal of NHS </w:t>
      </w:r>
      <w:r w:rsidR="002C124D">
        <w:t>services</w:t>
      </w:r>
      <w:r w:rsidR="00FF566C">
        <w:t>.</w:t>
      </w:r>
      <w:r w:rsidRPr="002C3215">
        <w:t xml:space="preserve">  </w:t>
      </w:r>
    </w:p>
    <w:p w14:paraId="5C40153F" w14:textId="77777777" w:rsidR="007C6DB9" w:rsidRPr="002C3215" w:rsidRDefault="007C6DB9" w:rsidP="00B40E4E">
      <w:pPr>
        <w:pStyle w:val="ListParagraph"/>
        <w:numPr>
          <w:ilvl w:val="0"/>
          <w:numId w:val="42"/>
        </w:numPr>
        <w:ind w:left="567"/>
      </w:pPr>
      <w:r w:rsidRPr="002C3215">
        <w:t xml:space="preserve">Reporting to the police where your behaviour constitutes a criminal offence and fully supporting any prosecution they may pursue. </w:t>
      </w:r>
    </w:p>
    <w:p w14:paraId="217BFAA3" w14:textId="6BC303EE" w:rsidR="007C6DB9" w:rsidRPr="002C3215" w:rsidRDefault="007C6DB9" w:rsidP="00B40E4E">
      <w:pPr>
        <w:pStyle w:val="ListParagraph"/>
        <w:numPr>
          <w:ilvl w:val="0"/>
          <w:numId w:val="42"/>
        </w:numPr>
        <w:ind w:left="567"/>
      </w:pPr>
      <w:r w:rsidRPr="002C3215">
        <w:t>Consideration of a private criminal prosecution or civil legal action</w:t>
      </w:r>
      <w:r w:rsidR="00FF566C">
        <w:t>.</w:t>
      </w:r>
      <w:r w:rsidRPr="002C3215">
        <w:t xml:space="preserve">  </w:t>
      </w:r>
    </w:p>
    <w:p w14:paraId="57AB4427" w14:textId="63759425" w:rsidR="007C6DB9" w:rsidRPr="00B22BDF" w:rsidRDefault="007C6DB9" w:rsidP="002C124D">
      <w:pPr>
        <w:ind w:left="0"/>
        <w:rPr>
          <w:rFonts w:eastAsia="Calibri"/>
        </w:rPr>
      </w:pPr>
      <w:r w:rsidRPr="00B22BDF">
        <w:rPr>
          <w:rFonts w:eastAsia="Calibri"/>
        </w:rPr>
        <w:t xml:space="preserve">If you consider that your alleged behaviour has been misrepresented or that this action is unwarranted, please contact </w:t>
      </w:r>
      <w:r w:rsidR="002C124D">
        <w:rPr>
          <w:rFonts w:eastAsia="Calibri"/>
        </w:rPr>
        <w:t xml:space="preserve">the ICB’s complaints team in writing at </w:t>
      </w:r>
      <w:r>
        <w:rPr>
          <w:rFonts w:eastAsia="Calibri"/>
          <w:color w:val="FF0000"/>
        </w:rPr>
        <w:t>[</w:t>
      </w:r>
      <w:r w:rsidRPr="00B22BDF">
        <w:rPr>
          <w:rFonts w:eastAsia="Calibri"/>
          <w:color w:val="FF0000"/>
        </w:rPr>
        <w:t xml:space="preserve">insert </w:t>
      </w:r>
      <w:r w:rsidR="002C124D">
        <w:rPr>
          <w:rFonts w:eastAsia="Calibri"/>
          <w:color w:val="FF0000"/>
        </w:rPr>
        <w:t>complaints contact details</w:t>
      </w:r>
      <w:r>
        <w:rPr>
          <w:rFonts w:eastAsia="Calibri"/>
          <w:color w:val="FF0000"/>
        </w:rPr>
        <w:t>]</w:t>
      </w:r>
      <w:r w:rsidRPr="00B22BDF">
        <w:rPr>
          <w:rFonts w:eastAsia="Calibri"/>
          <w:color w:val="FF0000"/>
        </w:rPr>
        <w:t xml:space="preserve"> </w:t>
      </w:r>
      <w:r w:rsidRPr="00B22BDF">
        <w:rPr>
          <w:rFonts w:eastAsia="Calibri"/>
        </w:rPr>
        <w:t xml:space="preserve">who will review this decision in the light of your account of the incident(s).  </w:t>
      </w:r>
    </w:p>
    <w:p w14:paraId="3D9F01FB" w14:textId="77C370FC" w:rsidR="007C6DB9" w:rsidRDefault="007C6DB9" w:rsidP="002C124D">
      <w:pPr>
        <w:ind w:left="0"/>
        <w:rPr>
          <w:rFonts w:eastAsia="Calibri"/>
        </w:rPr>
      </w:pPr>
      <w:r w:rsidRPr="00B22BDF">
        <w:rPr>
          <w:rFonts w:eastAsia="Calibri"/>
        </w:rPr>
        <w:t>Yours faithfully</w:t>
      </w:r>
    </w:p>
    <w:p w14:paraId="1FD2599A" w14:textId="77777777" w:rsidR="00B40E4E" w:rsidRPr="00B22BDF" w:rsidRDefault="00B40E4E" w:rsidP="002C124D">
      <w:pPr>
        <w:ind w:left="0"/>
        <w:rPr>
          <w:rFonts w:eastAsia="Calibri"/>
        </w:rPr>
      </w:pPr>
    </w:p>
    <w:p w14:paraId="181BCA96" w14:textId="617CF0FF" w:rsidR="007C6DB9" w:rsidRPr="00B40E4E" w:rsidRDefault="002C124D" w:rsidP="002C124D">
      <w:pPr>
        <w:ind w:left="0"/>
        <w:rPr>
          <w:rFonts w:eastAsia="Times New Roman"/>
          <w:color w:val="FF0000"/>
        </w:rPr>
      </w:pPr>
      <w:r w:rsidRPr="00B40E4E">
        <w:rPr>
          <w:rFonts w:eastAsia="Calibri"/>
          <w:color w:val="FF0000"/>
        </w:rPr>
        <w:t>N</w:t>
      </w:r>
      <w:r w:rsidR="007C6DB9" w:rsidRPr="00B40E4E">
        <w:rPr>
          <w:rFonts w:eastAsia="Calibri"/>
          <w:color w:val="FF0000"/>
        </w:rPr>
        <w:t xml:space="preserve">ame and </w:t>
      </w:r>
      <w:r w:rsidRPr="00B40E4E">
        <w:rPr>
          <w:rFonts w:eastAsia="Calibri"/>
          <w:color w:val="FF0000"/>
        </w:rPr>
        <w:t>D</w:t>
      </w:r>
      <w:r w:rsidR="007C6DB9" w:rsidRPr="00B40E4E">
        <w:rPr>
          <w:rFonts w:eastAsia="Calibri"/>
          <w:color w:val="FF0000"/>
        </w:rPr>
        <w:t>esignatio</w:t>
      </w:r>
      <w:r w:rsidRPr="00B40E4E">
        <w:rPr>
          <w:rFonts w:eastAsia="Calibri"/>
          <w:color w:val="FF0000"/>
        </w:rPr>
        <w:t>n</w:t>
      </w:r>
      <w:r w:rsidR="007C6DB9" w:rsidRPr="00B40E4E">
        <w:rPr>
          <w:rFonts w:eastAsia="Calibri"/>
          <w:color w:val="FF0000"/>
        </w:rPr>
        <w:t xml:space="preserve">  </w:t>
      </w:r>
    </w:p>
    <w:p w14:paraId="7D378C25" w14:textId="700E6C8E" w:rsidR="007C6DB9" w:rsidRPr="009B275F" w:rsidRDefault="00B40E4E" w:rsidP="002C124D">
      <w:pPr>
        <w:ind w:left="0"/>
        <w:rPr>
          <w:rFonts w:eastAsia="Times New Roman"/>
        </w:rPr>
      </w:pPr>
      <w:r>
        <w:rPr>
          <w:rFonts w:eastAsia="Times New Roman"/>
        </w:rPr>
        <w:t>c.</w:t>
      </w:r>
      <w:r w:rsidR="007C6DB9" w:rsidRPr="009B275F">
        <w:rPr>
          <w:rFonts w:eastAsia="Times New Roman"/>
        </w:rPr>
        <w:t>c</w:t>
      </w:r>
      <w:r>
        <w:rPr>
          <w:rFonts w:eastAsia="Times New Roman"/>
        </w:rPr>
        <w:t>.</w:t>
      </w:r>
      <w:r w:rsidR="007C6DB9" w:rsidRPr="009B275F">
        <w:rPr>
          <w:rFonts w:eastAsia="Times New Roman"/>
        </w:rPr>
        <w:t xml:space="preserve"> – </w:t>
      </w:r>
      <w:r w:rsidRPr="00B40E4E">
        <w:rPr>
          <w:rFonts w:eastAsia="Times New Roman"/>
          <w:color w:val="FF0000"/>
        </w:rPr>
        <w:t>C</w:t>
      </w:r>
      <w:r w:rsidR="007C6DB9" w:rsidRPr="00B40E4E">
        <w:rPr>
          <w:rFonts w:eastAsia="Times New Roman"/>
          <w:color w:val="FF0000"/>
        </w:rPr>
        <w:t>omplete as appropriate</w:t>
      </w:r>
    </w:p>
    <w:p w14:paraId="5708555C" w14:textId="4B688DCA" w:rsidR="00E95540" w:rsidRDefault="00E95540" w:rsidP="007C6DB9">
      <w:pPr>
        <w:rPr>
          <w:rFonts w:eastAsia="Calibri"/>
        </w:rPr>
      </w:pPr>
      <w:r>
        <w:rPr>
          <w:rFonts w:eastAsia="Calibri"/>
        </w:rPr>
        <w:br w:type="page"/>
      </w:r>
    </w:p>
    <w:p w14:paraId="0CD92264" w14:textId="22FC355B" w:rsidR="007C6DB9" w:rsidRPr="00E95540" w:rsidRDefault="007C6DB9" w:rsidP="00E95540">
      <w:pPr>
        <w:pStyle w:val="Heading2"/>
        <w:numPr>
          <w:ilvl w:val="0"/>
          <w:numId w:val="0"/>
        </w:numPr>
        <w:ind w:left="1134" w:hanging="1134"/>
        <w:rPr>
          <w:rFonts w:cs="Arial"/>
          <w:sz w:val="24"/>
          <w:szCs w:val="24"/>
        </w:rPr>
      </w:pPr>
      <w:bookmarkStart w:id="103" w:name="_Toc96950653"/>
      <w:bookmarkStart w:id="104" w:name="_Toc96950681"/>
      <w:bookmarkStart w:id="105" w:name="_Toc96950768"/>
      <w:bookmarkStart w:id="106" w:name="_Toc96950897"/>
      <w:bookmarkStart w:id="107" w:name="_Toc99360154"/>
      <w:bookmarkStart w:id="108" w:name="_Toc111190885"/>
      <w:r w:rsidRPr="003170E1">
        <w:t xml:space="preserve">APPENDIX </w:t>
      </w:r>
      <w:r>
        <w:t>E</w:t>
      </w:r>
      <w:bookmarkEnd w:id="103"/>
      <w:bookmarkEnd w:id="104"/>
      <w:bookmarkEnd w:id="105"/>
      <w:bookmarkEnd w:id="106"/>
      <w:r>
        <w:t xml:space="preserve"> – Frequently asked questions</w:t>
      </w:r>
      <w:bookmarkEnd w:id="107"/>
      <w:bookmarkEnd w:id="108"/>
    </w:p>
    <w:p w14:paraId="01091951" w14:textId="77777777" w:rsidR="007C6DB9" w:rsidRPr="00E95540" w:rsidRDefault="007C6DB9" w:rsidP="00E95540">
      <w:pPr>
        <w:ind w:left="0"/>
        <w:rPr>
          <w:rStyle w:val="Strong"/>
          <w:rFonts w:ascii="Arial" w:hAnsi="Arial" w:cs="Arial"/>
          <w:color w:val="676767"/>
        </w:rPr>
      </w:pPr>
      <w:r w:rsidRPr="00E95540">
        <w:rPr>
          <w:rStyle w:val="Strong"/>
          <w:rFonts w:ascii="Arial" w:hAnsi="Arial" w:cs="Arial"/>
          <w:color w:val="676767"/>
        </w:rPr>
        <w:t>If I am assaulted or verbally abused, what do I need to do?</w:t>
      </w:r>
    </w:p>
    <w:p w14:paraId="551CFABD" w14:textId="78002DB6" w:rsidR="007C6DB9" w:rsidRPr="00CE0E6D" w:rsidRDefault="007C6DB9" w:rsidP="00E95540">
      <w:pPr>
        <w:ind w:left="0"/>
      </w:pPr>
      <w:r w:rsidRPr="00CE0E6D">
        <w:t xml:space="preserve">All you need to do at first is report the incident to your line manager, a colleague or the </w:t>
      </w:r>
      <w:bookmarkStart w:id="109" w:name="_Hlk106957618"/>
      <w:r w:rsidRPr="00524984">
        <w:t>Local Security Management Specialist</w:t>
      </w:r>
      <w:bookmarkEnd w:id="109"/>
      <w:r w:rsidRPr="00524984">
        <w:t xml:space="preserve"> (</w:t>
      </w:r>
      <w:r w:rsidRPr="00CE0E6D">
        <w:t>LSMS</w:t>
      </w:r>
      <w:r>
        <w:t>)</w:t>
      </w:r>
      <w:r w:rsidRPr="00CE0E6D">
        <w:t xml:space="preserve"> – verbally at first, and then on an incident report form through the </w:t>
      </w:r>
      <w:r w:rsidR="00E95540">
        <w:t xml:space="preserve">ICB’s </w:t>
      </w:r>
      <w:r w:rsidRPr="00CE0E6D">
        <w:t>incident reporting system.</w:t>
      </w:r>
    </w:p>
    <w:p w14:paraId="53CBF4FC" w14:textId="77777777" w:rsidR="007C6DB9" w:rsidRPr="00CE0E6D" w:rsidRDefault="007C6DB9" w:rsidP="00E95540">
      <w:pPr>
        <w:ind w:left="0"/>
      </w:pPr>
      <w:r w:rsidRPr="00CE0E6D">
        <w:rPr>
          <w:rStyle w:val="Strong"/>
          <w:rFonts w:ascii="Arial" w:hAnsi="Arial" w:cs="Arial"/>
          <w:color w:val="676767"/>
        </w:rPr>
        <w:t xml:space="preserve">What will </w:t>
      </w:r>
      <w:r>
        <w:rPr>
          <w:rStyle w:val="Strong"/>
          <w:rFonts w:ascii="Arial" w:hAnsi="Arial" w:cs="Arial"/>
          <w:color w:val="676767"/>
        </w:rPr>
        <w:t>happen</w:t>
      </w:r>
      <w:r w:rsidRPr="00CE0E6D">
        <w:rPr>
          <w:rStyle w:val="Strong"/>
          <w:rFonts w:ascii="Arial" w:hAnsi="Arial" w:cs="Arial"/>
          <w:color w:val="676767"/>
        </w:rPr>
        <w:t xml:space="preserve"> then?</w:t>
      </w:r>
    </w:p>
    <w:p w14:paraId="5282420F" w14:textId="77777777" w:rsidR="007C6DB9" w:rsidRPr="00CE0E6D" w:rsidRDefault="007C6DB9" w:rsidP="00E95540">
      <w:pPr>
        <w:ind w:left="0"/>
      </w:pPr>
      <w:r w:rsidRPr="00CE0E6D">
        <w:t>We will report the incident to the appropriate authorities:</w:t>
      </w:r>
    </w:p>
    <w:p w14:paraId="6A2D2378" w14:textId="4450149F" w:rsidR="007C6DB9" w:rsidRPr="00E95540" w:rsidRDefault="00E95540" w:rsidP="00B40E4E">
      <w:pPr>
        <w:pStyle w:val="ListParagraph"/>
        <w:numPr>
          <w:ilvl w:val="0"/>
          <w:numId w:val="41"/>
        </w:numPr>
        <w:rPr>
          <w:rFonts w:eastAsia="Times New Roman"/>
        </w:rPr>
      </w:pPr>
      <w:r>
        <w:rPr>
          <w:rFonts w:eastAsia="Times New Roman"/>
        </w:rPr>
        <w:t>T</w:t>
      </w:r>
      <w:r w:rsidR="007C6DB9" w:rsidRPr="00E95540">
        <w:rPr>
          <w:rFonts w:eastAsia="Times New Roman"/>
        </w:rPr>
        <w:t>he police (if you have to do this yourself, you can be supported</w:t>
      </w:r>
      <w:r w:rsidR="007C6DB9" w:rsidRPr="00E95540">
        <w:rPr>
          <w:rFonts w:eastAsia="Times New Roman"/>
        </w:rPr>
        <w:br/>
        <w:t>by the LSMS)</w:t>
      </w:r>
    </w:p>
    <w:p w14:paraId="60B6B39E" w14:textId="18FEB925" w:rsidR="007C6DB9" w:rsidRPr="00E95540" w:rsidRDefault="00E95540" w:rsidP="00B40E4E">
      <w:pPr>
        <w:pStyle w:val="ListParagraph"/>
        <w:numPr>
          <w:ilvl w:val="0"/>
          <w:numId w:val="41"/>
        </w:numPr>
        <w:rPr>
          <w:rFonts w:eastAsia="Times New Roman"/>
        </w:rPr>
      </w:pPr>
      <w:r>
        <w:rPr>
          <w:rFonts w:eastAsia="Times New Roman"/>
        </w:rPr>
        <w:t>T</w:t>
      </w:r>
      <w:r w:rsidR="007C6DB9" w:rsidRPr="00E95540">
        <w:rPr>
          <w:rFonts w:eastAsia="Times New Roman"/>
        </w:rPr>
        <w:t>he LSMS – to begin the process of supporting you</w:t>
      </w:r>
    </w:p>
    <w:p w14:paraId="5C15AC5B" w14:textId="5A98FB8D" w:rsidR="007C6DB9" w:rsidRPr="00E95540" w:rsidRDefault="00E95540" w:rsidP="00B40E4E">
      <w:pPr>
        <w:pStyle w:val="ListParagraph"/>
        <w:numPr>
          <w:ilvl w:val="0"/>
          <w:numId w:val="41"/>
        </w:numPr>
        <w:rPr>
          <w:rFonts w:eastAsia="Times New Roman"/>
        </w:rPr>
      </w:pPr>
      <w:r>
        <w:rPr>
          <w:rFonts w:eastAsia="Times New Roman"/>
        </w:rPr>
        <w:t>T</w:t>
      </w:r>
      <w:r w:rsidR="007C6DB9" w:rsidRPr="00E95540">
        <w:rPr>
          <w:rFonts w:eastAsia="Times New Roman"/>
        </w:rPr>
        <w:t>he Health and Safety Executive – where required by law for sickness absences of over 7 days (RIDDOR reporting)</w:t>
      </w:r>
    </w:p>
    <w:p w14:paraId="468217D8" w14:textId="77777777" w:rsidR="007C6DB9" w:rsidRPr="002C3215" w:rsidRDefault="007C6DB9" w:rsidP="00E95540">
      <w:pPr>
        <w:ind w:left="0"/>
        <w:rPr>
          <w:rFonts w:eastAsia="Times New Roman"/>
        </w:rPr>
      </w:pPr>
      <w:r w:rsidRPr="002C3215">
        <w:rPr>
          <w:rFonts w:eastAsia="Times New Roman"/>
        </w:rPr>
        <w:t>The LSMS will receive an email notification that there has been an incident report received and will review that action has been taken promptly.</w:t>
      </w:r>
    </w:p>
    <w:p w14:paraId="07D98BD2" w14:textId="77777777" w:rsidR="007C6DB9" w:rsidRPr="00CE0E6D" w:rsidRDefault="007C6DB9" w:rsidP="00E95540">
      <w:pPr>
        <w:ind w:left="0"/>
      </w:pPr>
      <w:r w:rsidRPr="00CE0E6D">
        <w:rPr>
          <w:rStyle w:val="Strong"/>
          <w:rFonts w:ascii="Arial" w:hAnsi="Arial" w:cs="Arial"/>
          <w:color w:val="676767"/>
        </w:rPr>
        <w:t>Who will investigate the incident?</w:t>
      </w:r>
    </w:p>
    <w:p w14:paraId="3FD59C4E" w14:textId="77777777" w:rsidR="007C6DB9" w:rsidRPr="00CE0E6D" w:rsidRDefault="007C6DB9" w:rsidP="00E95540">
      <w:pPr>
        <w:ind w:left="0"/>
      </w:pPr>
      <w:r w:rsidRPr="00CE0E6D">
        <w:t xml:space="preserve">The investigation of violent incidents falls primarily to the police. If however, the police don’t act, or </w:t>
      </w:r>
      <w:r>
        <w:t>we are</w:t>
      </w:r>
      <w:r w:rsidRPr="00CE0E6D">
        <w:t xml:space="preserve"> not satisfied with the outcome of police enquiries, the LSMS will </w:t>
      </w:r>
      <w:r>
        <w:t>support in pursuing a civil sanction</w:t>
      </w:r>
      <w:r w:rsidRPr="00CE0E6D">
        <w:t>.</w:t>
      </w:r>
    </w:p>
    <w:p w14:paraId="00DA2BD7" w14:textId="5D031D8D" w:rsidR="007C6DB9" w:rsidRPr="00CE0E6D" w:rsidRDefault="007C6DB9" w:rsidP="00E95540">
      <w:pPr>
        <w:ind w:left="0"/>
      </w:pPr>
      <w:r w:rsidRPr="00CE0E6D">
        <w:t xml:space="preserve">Verbal abuse (excluding racially or religiously motivated abuse) may be investigated by the LSMS, although usually the </w:t>
      </w:r>
      <w:r w:rsidR="00FF566C">
        <w:t>p</w:t>
      </w:r>
      <w:r w:rsidRPr="00CE0E6D">
        <w:t>olice will undertake the investigations</w:t>
      </w:r>
      <w:r w:rsidR="00E95540">
        <w:t>.</w:t>
      </w:r>
    </w:p>
    <w:p w14:paraId="4CD07FDE" w14:textId="77777777" w:rsidR="007C6DB9" w:rsidRPr="00CE0E6D" w:rsidRDefault="007C6DB9" w:rsidP="00E95540">
      <w:pPr>
        <w:ind w:left="0"/>
      </w:pPr>
      <w:r w:rsidRPr="00CE0E6D">
        <w:rPr>
          <w:rStyle w:val="Strong"/>
          <w:rFonts w:ascii="Arial" w:hAnsi="Arial" w:cs="Arial"/>
          <w:color w:val="676767"/>
        </w:rPr>
        <w:t>What would the investigation involve?</w:t>
      </w:r>
    </w:p>
    <w:p w14:paraId="75C63A4B" w14:textId="5B918290" w:rsidR="007C6DB9" w:rsidRPr="00CE0E6D" w:rsidRDefault="007C6DB9" w:rsidP="00E95540">
      <w:pPr>
        <w:ind w:left="0"/>
      </w:pPr>
      <w:r w:rsidRPr="00CE0E6D">
        <w:t>As well as completing the incident report, you may be required to speak to the police</w:t>
      </w:r>
      <w:r w:rsidR="00FF566C">
        <w:t>, the Health and Safety Executive,</w:t>
      </w:r>
      <w:r w:rsidRPr="00CE0E6D">
        <w:t xml:space="preserve"> or your LSMS.</w:t>
      </w:r>
    </w:p>
    <w:p w14:paraId="50B741F6" w14:textId="77777777" w:rsidR="007C6DB9" w:rsidRPr="00CE0E6D" w:rsidRDefault="007C6DB9" w:rsidP="00E95540">
      <w:pPr>
        <w:ind w:left="0"/>
      </w:pPr>
      <w:r w:rsidRPr="00CE0E6D">
        <w:t>Any other person who was involved in or witnessed the incident may also be approached for information. If appropriate, you and any witnesses would be asked to make a formal statement. This simply means describing the circumstances surrounding the incident, which would be written down in a form acceptable to the courts. Let the LSMS know if you have any concerns during this process</w:t>
      </w:r>
    </w:p>
    <w:p w14:paraId="216A57CE" w14:textId="52919A8A" w:rsidR="007C6DB9" w:rsidRPr="00CE0E6D" w:rsidRDefault="007C6DB9" w:rsidP="00E95540">
      <w:pPr>
        <w:ind w:left="0"/>
      </w:pPr>
      <w:r w:rsidRPr="00CE0E6D">
        <w:t xml:space="preserve">This evidence would be put together and sent to the </w:t>
      </w:r>
      <w:r>
        <w:t xml:space="preserve">Police and ultimately </w:t>
      </w:r>
      <w:r w:rsidR="00B067B3">
        <w:t xml:space="preserve">the </w:t>
      </w:r>
      <w:r w:rsidRPr="00CE0E6D">
        <w:t>Crown Prosecution Service</w:t>
      </w:r>
      <w:r>
        <w:t>.</w:t>
      </w:r>
      <w:r w:rsidRPr="00CE0E6D">
        <w:t xml:space="preserve"> </w:t>
      </w:r>
    </w:p>
    <w:p w14:paraId="07B740B9" w14:textId="77777777" w:rsidR="007C6DB9" w:rsidRPr="00CE0E6D" w:rsidRDefault="007C6DB9" w:rsidP="00E95540">
      <w:pPr>
        <w:ind w:left="0"/>
      </w:pPr>
      <w:r w:rsidRPr="00CE0E6D">
        <w:rPr>
          <w:rStyle w:val="Strong"/>
          <w:rFonts w:ascii="Arial" w:hAnsi="Arial" w:cs="Arial"/>
          <w:color w:val="676767"/>
        </w:rPr>
        <w:t>Will I have to go to court?</w:t>
      </w:r>
    </w:p>
    <w:p w14:paraId="1C3AA63E" w14:textId="77777777" w:rsidR="007C6DB9" w:rsidRPr="00CE0E6D" w:rsidRDefault="007C6DB9" w:rsidP="00E95540">
      <w:pPr>
        <w:ind w:left="0"/>
      </w:pPr>
      <w:r w:rsidRPr="00CE0E6D">
        <w:t xml:space="preserve">Not necessarily. Anyone who makes a statement may be required to go to court, but this is not always </w:t>
      </w:r>
      <w:r>
        <w:t>the case</w:t>
      </w:r>
      <w:r w:rsidRPr="00CE0E6D">
        <w:t>.</w:t>
      </w:r>
    </w:p>
    <w:p w14:paraId="1108525F" w14:textId="2BE0BAF0" w:rsidR="007C6DB9" w:rsidRPr="00CE0E6D" w:rsidRDefault="007C6DB9" w:rsidP="00E95540">
      <w:pPr>
        <w:ind w:left="0"/>
      </w:pPr>
      <w:r w:rsidRPr="00CE0E6D">
        <w:t xml:space="preserve">If an assailant pleads guilty to an offence in the early stages of proceedings, attendance at court is not required. Your LSMS will support you in keeping up to date with what is happening. </w:t>
      </w:r>
      <w:r w:rsidR="00B067B3" w:rsidRPr="00CE0E6D">
        <w:t>If</w:t>
      </w:r>
      <w:r w:rsidRPr="00CE0E6D">
        <w:t xml:space="preserve"> attendance is required then the LSMS will also attend Court, supporting </w:t>
      </w:r>
      <w:r>
        <w:t xml:space="preserve">you </w:t>
      </w:r>
      <w:r w:rsidRPr="00CE0E6D">
        <w:t>and</w:t>
      </w:r>
      <w:r>
        <w:t xml:space="preserve"> any</w:t>
      </w:r>
      <w:r w:rsidRPr="00CE0E6D">
        <w:t xml:space="preserve"> witnesses through the whole process.</w:t>
      </w:r>
    </w:p>
    <w:p w14:paraId="074CC2AF" w14:textId="77777777" w:rsidR="007C6DB9" w:rsidRPr="00CE0E6D" w:rsidRDefault="007C6DB9" w:rsidP="00E95540">
      <w:pPr>
        <w:ind w:left="0"/>
      </w:pPr>
      <w:r w:rsidRPr="00CE0E6D">
        <w:rPr>
          <w:rStyle w:val="Strong"/>
          <w:rFonts w:ascii="Arial" w:hAnsi="Arial" w:cs="Arial"/>
          <w:color w:val="676767"/>
        </w:rPr>
        <w:t>Who will support me?</w:t>
      </w:r>
    </w:p>
    <w:p w14:paraId="26D56195" w14:textId="77777777" w:rsidR="007C6DB9" w:rsidRPr="00CE0E6D" w:rsidRDefault="007C6DB9" w:rsidP="00E95540">
      <w:pPr>
        <w:ind w:left="0"/>
      </w:pPr>
      <w:r w:rsidRPr="00CE0E6D">
        <w:t>Apart from your direct line manager, the LSMS will also be able to support until any investigation or other action has been concluded. They can support arranging for counselling services and occupational health to see you if you wish.</w:t>
      </w:r>
    </w:p>
    <w:p w14:paraId="630D58D5" w14:textId="77777777" w:rsidR="007C6DB9" w:rsidRDefault="007C6DB9" w:rsidP="00E95540">
      <w:pPr>
        <w:ind w:left="0"/>
      </w:pPr>
      <w:r w:rsidRPr="00CE0E6D">
        <w:t>If required LSMS support will include notifying the staff member of what is happening, ensuring that you are kept up to date during the investigation, whether the police or the LSMS are the principal investigators.</w:t>
      </w:r>
    </w:p>
    <w:p w14:paraId="1215DD11" w14:textId="77777777" w:rsidR="007C6DB9" w:rsidRPr="00CE0E6D" w:rsidRDefault="007C6DB9" w:rsidP="00E95540">
      <w:pPr>
        <w:ind w:left="0"/>
      </w:pPr>
      <w:r w:rsidRPr="00CE0E6D">
        <w:rPr>
          <w:rStyle w:val="Strong"/>
          <w:rFonts w:ascii="Arial" w:hAnsi="Arial" w:cs="Arial"/>
          <w:color w:val="676767"/>
        </w:rPr>
        <w:t>What will happen to the person who assaulted/abused me?</w:t>
      </w:r>
    </w:p>
    <w:p w14:paraId="6BCE880D" w14:textId="77777777" w:rsidR="007C6DB9" w:rsidRPr="00CE0E6D" w:rsidRDefault="007C6DB9" w:rsidP="00E95540">
      <w:pPr>
        <w:ind w:left="0"/>
      </w:pPr>
      <w:r w:rsidRPr="00CE0E6D">
        <w:t>If the incident was because of their illness, the case will be reviewed by the clinicians involved in their care. If there are any lessons to learn, they will be incorporated in their treatment plan.</w:t>
      </w:r>
    </w:p>
    <w:p w14:paraId="6D46415F" w14:textId="45ECB621" w:rsidR="007C6DB9" w:rsidRPr="00CE0E6D" w:rsidRDefault="007C6DB9" w:rsidP="00E95540">
      <w:pPr>
        <w:ind w:left="0"/>
      </w:pPr>
      <w:r w:rsidRPr="00CE0E6D">
        <w:t>If the incident is being investigated, there are a number of sanctions available to the police</w:t>
      </w:r>
      <w:r>
        <w:t xml:space="preserve"> and to your employer</w:t>
      </w:r>
      <w:r w:rsidRPr="00CE0E6D">
        <w:t>. The level of sanction that will be appropriate will depend on the individual case, but may include criminal prosecution (fines, imprisonment, etc), civil action (</w:t>
      </w:r>
      <w:r w:rsidR="00B067B3" w:rsidRPr="00CE0E6D">
        <w:t>A</w:t>
      </w:r>
      <w:r w:rsidR="00B067B3">
        <w:t>l</w:t>
      </w:r>
      <w:r w:rsidR="00B067B3" w:rsidRPr="00CE0E6D">
        <w:t>so</w:t>
      </w:r>
      <w:r w:rsidRPr="00CE0E6D">
        <w:t>, damages, etc) or procedural action (warning letters, restricted access to the hospital, withdrawal of treatment, etc)</w:t>
      </w:r>
      <w:r w:rsidR="00F12516">
        <w:t xml:space="preserve"> and in the case of staff on staff incidents, disciplinary action.</w:t>
      </w:r>
    </w:p>
    <w:p w14:paraId="3B46D405" w14:textId="42E50BC0" w:rsidR="007C6DB9" w:rsidRPr="00CE0E6D" w:rsidRDefault="007C6DB9" w:rsidP="00E95540">
      <w:pPr>
        <w:ind w:left="0"/>
        <w:rPr>
          <w:rFonts w:eastAsia="Calibri"/>
        </w:rPr>
      </w:pPr>
      <w:r w:rsidRPr="00CE0E6D">
        <w:t xml:space="preserve">Our aim is to ensure that our staff can work and service users can experience care and treatment in an environment that is safe and secure. You can help by reporting all security incidents so that lessons can be learned and, if appropriate, further action taken. For more information, contact your </w:t>
      </w:r>
      <w:r w:rsidR="00524984" w:rsidRPr="006021C1">
        <w:t>Local Security Management Specialist</w:t>
      </w:r>
      <w:r w:rsidR="006021C1">
        <w:t xml:space="preserve"> </w:t>
      </w:r>
      <w:hyperlink r:id="rId22" w:history="1">
        <w:r w:rsidR="006021C1" w:rsidRPr="006021C1">
          <w:rPr>
            <w:rStyle w:val="Hyperlink"/>
            <w:lang w:val="en-US" w:eastAsia="en-GB"/>
          </w:rPr>
          <w:t>julie.hill2@wmas.nhs.uk</w:t>
        </w:r>
      </w:hyperlink>
      <w:r w:rsidR="006021C1">
        <w:rPr>
          <w:lang w:val="en-US" w:eastAsia="en-GB"/>
        </w:rPr>
        <w:t>.</w:t>
      </w:r>
    </w:p>
    <w:p w14:paraId="6E4DD2FA" w14:textId="5D46BF0D" w:rsidR="00824CE3" w:rsidRPr="00285BEC" w:rsidRDefault="00824CE3" w:rsidP="00E95540">
      <w:pPr>
        <w:ind w:left="0"/>
        <w:rPr>
          <w:rFonts w:asciiTheme="majorHAnsi" w:eastAsiaTheme="majorEastAsia" w:hAnsiTheme="majorHAnsi" w:cstheme="majorBidi"/>
          <w:color w:val="005EB8" w:themeColor="accent2"/>
          <w:sz w:val="32"/>
          <w:szCs w:val="26"/>
        </w:rPr>
      </w:pPr>
    </w:p>
    <w:sectPr w:rsidR="00824CE3" w:rsidRPr="00285BEC" w:rsidSect="002C124D">
      <w:headerReference w:type="default" r:id="rId23"/>
      <w:pgSz w:w="11906" w:h="16838" w:code="9"/>
      <w:pgMar w:top="851"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D873" w14:textId="77777777" w:rsidR="00646A1C" w:rsidRDefault="00646A1C" w:rsidP="00EB783D">
      <w:pPr>
        <w:spacing w:before="0" w:after="0"/>
      </w:pPr>
      <w:r>
        <w:separator/>
      </w:r>
    </w:p>
  </w:endnote>
  <w:endnote w:type="continuationSeparator" w:id="0">
    <w:p w14:paraId="628C5791" w14:textId="77777777" w:rsidR="00646A1C" w:rsidRDefault="00646A1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F4A4" w14:textId="76A5DBA7" w:rsidR="00742731" w:rsidRDefault="00646A1C" w:rsidP="005D2D2B">
    <w:pPr>
      <w:pStyle w:val="Footer"/>
      <w:ind w:left="0"/>
    </w:pPr>
    <w:sdt>
      <w:sdtPr>
        <w:id w:val="-220824633"/>
        <w:docPartObj>
          <w:docPartGallery w:val="Page Numbers (Bottom of Page)"/>
          <w:docPartUnique/>
        </w:docPartObj>
      </w:sdtPr>
      <w:sdtEndPr/>
      <w:sdtContent>
        <w:sdt>
          <w:sdtPr>
            <w:id w:val="-1705238520"/>
            <w:docPartObj>
              <w:docPartGallery w:val="Page Numbers (Top of Page)"/>
              <w:docPartUnique/>
            </w:docPartObj>
          </w:sdtPr>
          <w:sdtEndPr/>
          <w:sdtContent>
            <w:r w:rsidR="00742731">
              <w:t xml:space="preserve">Violence, Aggression and </w:t>
            </w:r>
            <w:r w:rsidR="009047A7">
              <w:t xml:space="preserve">Vexatious </w:t>
            </w:r>
            <w:r w:rsidR="00742731">
              <w:t xml:space="preserve">Behaviour Policy </w:t>
            </w:r>
            <w:r w:rsidR="009A3207">
              <w:t>V</w:t>
            </w:r>
            <w:r w:rsidR="00417CB8">
              <w:t>1.0</w:t>
            </w:r>
            <w:r w:rsidR="00742731">
              <w:tab/>
              <w:t xml:space="preserve">Page </w:t>
            </w:r>
            <w:r w:rsidR="00742731">
              <w:rPr>
                <w:b/>
                <w:bCs/>
              </w:rPr>
              <w:fldChar w:fldCharType="begin"/>
            </w:r>
            <w:r w:rsidR="00742731">
              <w:rPr>
                <w:b/>
                <w:bCs/>
              </w:rPr>
              <w:instrText xml:space="preserve"> PAGE </w:instrText>
            </w:r>
            <w:r w:rsidR="00742731">
              <w:rPr>
                <w:b/>
                <w:bCs/>
              </w:rPr>
              <w:fldChar w:fldCharType="separate"/>
            </w:r>
            <w:r w:rsidR="00742731">
              <w:rPr>
                <w:b/>
                <w:bCs/>
                <w:noProof/>
              </w:rPr>
              <w:t>2</w:t>
            </w:r>
            <w:r w:rsidR="00742731">
              <w:rPr>
                <w:b/>
                <w:bCs/>
              </w:rPr>
              <w:fldChar w:fldCharType="end"/>
            </w:r>
            <w:r w:rsidR="00742731">
              <w:t xml:space="preserve"> of </w:t>
            </w:r>
            <w:r w:rsidR="00742731">
              <w:rPr>
                <w:b/>
                <w:bCs/>
              </w:rPr>
              <w:t>20</w:t>
            </w:r>
          </w:sdtContent>
        </w:sdt>
      </w:sdtContent>
    </w:sdt>
  </w:p>
  <w:p w14:paraId="1F5696B4" w14:textId="0BE26651" w:rsidR="00742731" w:rsidRDefault="00742731" w:rsidP="005D2D2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405B" w14:textId="77777777" w:rsidR="00646A1C" w:rsidRDefault="00646A1C" w:rsidP="00EB783D">
      <w:pPr>
        <w:spacing w:before="0" w:after="0"/>
      </w:pPr>
      <w:r>
        <w:separator/>
      </w:r>
    </w:p>
  </w:footnote>
  <w:footnote w:type="continuationSeparator" w:id="0">
    <w:p w14:paraId="393D914C" w14:textId="77777777" w:rsidR="00646A1C" w:rsidRDefault="00646A1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AB61" w14:textId="416BA51A" w:rsidR="00417CB8" w:rsidRDefault="00417CB8" w:rsidP="00417CB8">
    <w:pPr>
      <w:pStyle w:val="Header"/>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369B" w14:textId="3DE9376F" w:rsidR="00417CB8" w:rsidRDefault="00417CB8" w:rsidP="00417CB8">
    <w:pPr>
      <w:pStyle w:val="Header"/>
      <w:ind w:left="0"/>
    </w:pPr>
    <w:r>
      <w:rPr>
        <w:noProof/>
      </w:rPr>
      <w:drawing>
        <wp:inline distT="0" distB="0" distL="0" distR="0" wp14:anchorId="37006B66" wp14:editId="68005371">
          <wp:extent cx="5868063" cy="771277"/>
          <wp:effectExtent l="0" t="0" r="0" b="0"/>
          <wp:docPr id="4" name="Group 3"/>
          <wp:cNvGraphicFramePr/>
          <a:graphic xmlns:a="http://schemas.openxmlformats.org/drawingml/2006/main">
            <a:graphicData uri="http://schemas.openxmlformats.org/drawingml/2006/picture">
              <pic:pic xmlns:pic="http://schemas.openxmlformats.org/drawingml/2006/picture">
                <pic:nvPicPr>
                  <pic:cNvPr id="3"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878903" cy="77270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9D0F" w14:textId="77777777" w:rsidR="00742731" w:rsidRPr="00232012" w:rsidRDefault="00742731" w:rsidP="007C6DB9">
    <w:pPr>
      <w:pStyle w:val="Heading1"/>
      <w:keepNext w:val="0"/>
      <w:keepLines w:val="0"/>
      <w:spacing w:before="0"/>
      <w:ind w:left="360" w:hanging="360"/>
      <w:contextualSpacing/>
    </w:pPr>
    <w:r>
      <w:rPr>
        <w:noProof/>
      </w:rPr>
      <w:drawing>
        <wp:anchor distT="0" distB="0" distL="114300" distR="114300" simplePos="0" relativeHeight="251659264" behindDoc="0" locked="0" layoutInCell="1" allowOverlap="1" wp14:anchorId="4CB10E55" wp14:editId="3F7FC1C6">
          <wp:simplePos x="0" y="0"/>
          <wp:positionH relativeFrom="column">
            <wp:posOffset>-172529</wp:posOffset>
          </wp:positionH>
          <wp:positionV relativeFrom="paragraph">
            <wp:posOffset>9177</wp:posOffset>
          </wp:positionV>
          <wp:extent cx="2122805" cy="499745"/>
          <wp:effectExtent l="0" t="0" r="0" b="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805" cy="499745"/>
                  </a:xfrm>
                  <a:prstGeom prst="rect">
                    <a:avLst/>
                  </a:prstGeom>
                </pic:spPr>
              </pic:pic>
            </a:graphicData>
          </a:graphic>
        </wp:anchor>
      </w:drawing>
    </w:r>
    <w:r>
      <w:tab/>
    </w:r>
  </w:p>
  <w:p w14:paraId="74D608BC" w14:textId="77777777" w:rsidR="00742731" w:rsidRPr="001745DE" w:rsidRDefault="00742731" w:rsidP="002C1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054"/>
    <w:multiLevelType w:val="hybridMultilevel"/>
    <w:tmpl w:val="92F433F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4A14E92"/>
    <w:multiLevelType w:val="hybridMultilevel"/>
    <w:tmpl w:val="12ACCF1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AE63A13"/>
    <w:multiLevelType w:val="hybridMultilevel"/>
    <w:tmpl w:val="646E3D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B847D23"/>
    <w:multiLevelType w:val="hybridMultilevel"/>
    <w:tmpl w:val="17F0BC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706C37"/>
    <w:multiLevelType w:val="multilevel"/>
    <w:tmpl w:val="93CA2442"/>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74CD1"/>
    <w:multiLevelType w:val="hybridMultilevel"/>
    <w:tmpl w:val="494EB3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F2928E6"/>
    <w:multiLevelType w:val="multilevel"/>
    <w:tmpl w:val="79AA125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703497"/>
    <w:multiLevelType w:val="hybridMultilevel"/>
    <w:tmpl w:val="96A842B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3F22A49"/>
    <w:multiLevelType w:val="hybridMultilevel"/>
    <w:tmpl w:val="BCEC34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5B12520"/>
    <w:multiLevelType w:val="hybridMultilevel"/>
    <w:tmpl w:val="E6AA89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61D542F"/>
    <w:multiLevelType w:val="hybridMultilevel"/>
    <w:tmpl w:val="954E7F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7119E1"/>
    <w:multiLevelType w:val="hybridMultilevel"/>
    <w:tmpl w:val="F2C073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210441B"/>
    <w:multiLevelType w:val="multilevel"/>
    <w:tmpl w:val="253253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30946"/>
    <w:multiLevelType w:val="hybridMultilevel"/>
    <w:tmpl w:val="CAC0AC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9DF575B"/>
    <w:multiLevelType w:val="multilevel"/>
    <w:tmpl w:val="EFCADBE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E65DE1"/>
    <w:multiLevelType w:val="hybridMultilevel"/>
    <w:tmpl w:val="B950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60C17"/>
    <w:multiLevelType w:val="hybridMultilevel"/>
    <w:tmpl w:val="F99212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406D5BA7"/>
    <w:multiLevelType w:val="multilevel"/>
    <w:tmpl w:val="7EAC28FE"/>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343233"/>
    <w:multiLevelType w:val="multilevel"/>
    <w:tmpl w:val="9642CA9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581381"/>
    <w:multiLevelType w:val="hybridMultilevel"/>
    <w:tmpl w:val="CDDABB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A3FF2"/>
    <w:multiLevelType w:val="multilevel"/>
    <w:tmpl w:val="607CFC78"/>
    <w:styleLink w:val="Style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877962"/>
    <w:multiLevelType w:val="hybridMultilevel"/>
    <w:tmpl w:val="F5A207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7EA1FCD"/>
    <w:multiLevelType w:val="hybridMultilevel"/>
    <w:tmpl w:val="691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6F464F"/>
    <w:multiLevelType w:val="hybridMultilevel"/>
    <w:tmpl w:val="0052C5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2D911C9"/>
    <w:multiLevelType w:val="hybridMultilevel"/>
    <w:tmpl w:val="0C149E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A72CE4"/>
    <w:multiLevelType w:val="hybridMultilevel"/>
    <w:tmpl w:val="AE94D6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24125C"/>
    <w:multiLevelType w:val="multilevel"/>
    <w:tmpl w:val="A118BE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811FCB"/>
    <w:multiLevelType w:val="hybridMultilevel"/>
    <w:tmpl w:val="C1DCCD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6AD07ED9"/>
    <w:multiLevelType w:val="hybridMultilevel"/>
    <w:tmpl w:val="1E1C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497618"/>
    <w:multiLevelType w:val="hybridMultilevel"/>
    <w:tmpl w:val="A8728E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70C741FE"/>
    <w:multiLevelType w:val="hybridMultilevel"/>
    <w:tmpl w:val="43B00F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3" w15:restartNumberingAfterBreak="0">
    <w:nsid w:val="73054D1A"/>
    <w:multiLevelType w:val="hybridMultilevel"/>
    <w:tmpl w:val="CDBE84E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37A15"/>
    <w:multiLevelType w:val="hybridMultilevel"/>
    <w:tmpl w:val="948C32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7BA6698E"/>
    <w:multiLevelType w:val="hybridMultilevel"/>
    <w:tmpl w:val="8768FFB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3"/>
  </w:num>
  <w:num w:numId="2">
    <w:abstractNumId w:val="35"/>
  </w:num>
  <w:num w:numId="3">
    <w:abstractNumId w:val="38"/>
  </w:num>
  <w:num w:numId="4">
    <w:abstractNumId w:val="12"/>
  </w:num>
  <w:num w:numId="5">
    <w:abstractNumId w:val="33"/>
  </w:num>
  <w:num w:numId="6">
    <w:abstractNumId w:val="37"/>
  </w:num>
  <w:num w:numId="7">
    <w:abstractNumId w:val="14"/>
  </w:num>
  <w:num w:numId="8">
    <w:abstractNumId w:val="44"/>
  </w:num>
  <w:num w:numId="9">
    <w:abstractNumId w:val="4"/>
  </w:num>
  <w:num w:numId="10">
    <w:abstractNumId w:val="29"/>
  </w:num>
  <w:num w:numId="11">
    <w:abstractNumId w:val="17"/>
  </w:num>
  <w:num w:numId="12">
    <w:abstractNumId w:val="13"/>
  </w:num>
  <w:num w:numId="13">
    <w:abstractNumId w:val="25"/>
  </w:num>
  <w:num w:numId="14">
    <w:abstractNumId w:val="36"/>
  </w:num>
  <w:num w:numId="15">
    <w:abstractNumId w:val="26"/>
  </w:num>
  <w:num w:numId="16">
    <w:abstractNumId w:val="32"/>
  </w:num>
  <w:num w:numId="17">
    <w:abstractNumId w:val="40"/>
  </w:num>
  <w:num w:numId="18">
    <w:abstractNumId w:val="10"/>
  </w:num>
  <w:num w:numId="19">
    <w:abstractNumId w:val="34"/>
  </w:num>
  <w:num w:numId="20">
    <w:abstractNumId w:val="1"/>
  </w:num>
  <w:num w:numId="21">
    <w:abstractNumId w:val="21"/>
  </w:num>
  <w:num w:numId="22">
    <w:abstractNumId w:val="39"/>
  </w:num>
  <w:num w:numId="23">
    <w:abstractNumId w:val="42"/>
  </w:num>
  <w:num w:numId="24">
    <w:abstractNumId w:val="45"/>
  </w:num>
  <w:num w:numId="25">
    <w:abstractNumId w:val="2"/>
  </w:num>
  <w:num w:numId="26">
    <w:abstractNumId w:val="30"/>
  </w:num>
  <w:num w:numId="27">
    <w:abstractNumId w:val="6"/>
  </w:num>
  <w:num w:numId="28">
    <w:abstractNumId w:val="46"/>
  </w:num>
  <w:num w:numId="29">
    <w:abstractNumId w:val="41"/>
  </w:num>
  <w:num w:numId="30">
    <w:abstractNumId w:val="11"/>
  </w:num>
  <w:num w:numId="31">
    <w:abstractNumId w:val="43"/>
  </w:num>
  <w:num w:numId="32">
    <w:abstractNumId w:val="15"/>
  </w:num>
  <w:num w:numId="33">
    <w:abstractNumId w:val="0"/>
  </w:num>
  <w:num w:numId="34">
    <w:abstractNumId w:val="18"/>
  </w:num>
  <w:num w:numId="35">
    <w:abstractNumId w:val="8"/>
  </w:num>
  <w:num w:numId="36">
    <w:abstractNumId w:val="24"/>
  </w:num>
  <w:num w:numId="37">
    <w:abstractNumId w:val="3"/>
  </w:num>
  <w:num w:numId="38">
    <w:abstractNumId w:val="27"/>
  </w:num>
  <w:num w:numId="39">
    <w:abstractNumId w:val="28"/>
  </w:num>
  <w:num w:numId="40">
    <w:abstractNumId w:val="9"/>
  </w:num>
  <w:num w:numId="41">
    <w:abstractNumId w:val="20"/>
  </w:num>
  <w:num w:numId="42">
    <w:abstractNumId w:val="31"/>
  </w:num>
  <w:num w:numId="43">
    <w:abstractNumId w:val="23"/>
  </w:num>
  <w:num w:numId="44">
    <w:abstractNumId w:val="7"/>
  </w:num>
  <w:num w:numId="45">
    <w:abstractNumId w:val="22"/>
  </w:num>
  <w:num w:numId="46">
    <w:abstractNumId w:val="19"/>
  </w:num>
  <w:num w:numId="47">
    <w:abstractNumId w:val="5"/>
  </w:num>
  <w:num w:numId="48">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4FA"/>
    <w:rsid w:val="00005E44"/>
    <w:rsid w:val="00016399"/>
    <w:rsid w:val="00032882"/>
    <w:rsid w:val="00033ADA"/>
    <w:rsid w:val="00053CDD"/>
    <w:rsid w:val="00063BEB"/>
    <w:rsid w:val="000665B0"/>
    <w:rsid w:val="00066E4A"/>
    <w:rsid w:val="00076506"/>
    <w:rsid w:val="00094FB7"/>
    <w:rsid w:val="000B3081"/>
    <w:rsid w:val="000B725B"/>
    <w:rsid w:val="000E793E"/>
    <w:rsid w:val="000F560D"/>
    <w:rsid w:val="00126ED8"/>
    <w:rsid w:val="001372BC"/>
    <w:rsid w:val="0013779C"/>
    <w:rsid w:val="00137B4C"/>
    <w:rsid w:val="00182901"/>
    <w:rsid w:val="0018348A"/>
    <w:rsid w:val="00186694"/>
    <w:rsid w:val="001946F0"/>
    <w:rsid w:val="001B214F"/>
    <w:rsid w:val="001D1E17"/>
    <w:rsid w:val="001D2701"/>
    <w:rsid w:val="001D57D3"/>
    <w:rsid w:val="001E685F"/>
    <w:rsid w:val="001F64C6"/>
    <w:rsid w:val="001F73D6"/>
    <w:rsid w:val="00201DAA"/>
    <w:rsid w:val="00225AB9"/>
    <w:rsid w:val="002420E4"/>
    <w:rsid w:val="0025032C"/>
    <w:rsid w:val="00250FB0"/>
    <w:rsid w:val="0025472B"/>
    <w:rsid w:val="00254FFE"/>
    <w:rsid w:val="00260F29"/>
    <w:rsid w:val="00285BEC"/>
    <w:rsid w:val="00296E75"/>
    <w:rsid w:val="002C124D"/>
    <w:rsid w:val="002C3165"/>
    <w:rsid w:val="002E2F03"/>
    <w:rsid w:val="00300587"/>
    <w:rsid w:val="00324D0B"/>
    <w:rsid w:val="00331F09"/>
    <w:rsid w:val="0034396E"/>
    <w:rsid w:val="00343A4F"/>
    <w:rsid w:val="00361765"/>
    <w:rsid w:val="00375DF6"/>
    <w:rsid w:val="003771EC"/>
    <w:rsid w:val="0039715A"/>
    <w:rsid w:val="003A0076"/>
    <w:rsid w:val="003A663C"/>
    <w:rsid w:val="003B0CB5"/>
    <w:rsid w:val="003C6732"/>
    <w:rsid w:val="003C6E42"/>
    <w:rsid w:val="003D152E"/>
    <w:rsid w:val="003D7794"/>
    <w:rsid w:val="00412844"/>
    <w:rsid w:val="00417CB8"/>
    <w:rsid w:val="0042023D"/>
    <w:rsid w:val="004266CB"/>
    <w:rsid w:val="00443D56"/>
    <w:rsid w:val="00446E1E"/>
    <w:rsid w:val="00447E47"/>
    <w:rsid w:val="004505B9"/>
    <w:rsid w:val="004637D3"/>
    <w:rsid w:val="00484D8F"/>
    <w:rsid w:val="00491763"/>
    <w:rsid w:val="00494C18"/>
    <w:rsid w:val="004A1ADD"/>
    <w:rsid w:val="004A2F47"/>
    <w:rsid w:val="004A4C30"/>
    <w:rsid w:val="004B382C"/>
    <w:rsid w:val="004E5F32"/>
    <w:rsid w:val="004E6155"/>
    <w:rsid w:val="00514203"/>
    <w:rsid w:val="00514738"/>
    <w:rsid w:val="00524984"/>
    <w:rsid w:val="00546A28"/>
    <w:rsid w:val="005568E4"/>
    <w:rsid w:val="00562866"/>
    <w:rsid w:val="005C005F"/>
    <w:rsid w:val="005C6229"/>
    <w:rsid w:val="005C7787"/>
    <w:rsid w:val="005C7CF2"/>
    <w:rsid w:val="005D2D2B"/>
    <w:rsid w:val="005E2D9D"/>
    <w:rsid w:val="006021C1"/>
    <w:rsid w:val="00603326"/>
    <w:rsid w:val="0060414B"/>
    <w:rsid w:val="00610177"/>
    <w:rsid w:val="006134A1"/>
    <w:rsid w:val="00616CF2"/>
    <w:rsid w:val="006316DC"/>
    <w:rsid w:val="00646A1C"/>
    <w:rsid w:val="006606C1"/>
    <w:rsid w:val="006631EF"/>
    <w:rsid w:val="0068694C"/>
    <w:rsid w:val="00690B36"/>
    <w:rsid w:val="006A3B30"/>
    <w:rsid w:val="006A4AF5"/>
    <w:rsid w:val="006B3E9C"/>
    <w:rsid w:val="006C36D6"/>
    <w:rsid w:val="006D1502"/>
    <w:rsid w:val="006D17F2"/>
    <w:rsid w:val="006F36FD"/>
    <w:rsid w:val="006F4997"/>
    <w:rsid w:val="00706434"/>
    <w:rsid w:val="00716D9A"/>
    <w:rsid w:val="00732AFE"/>
    <w:rsid w:val="00741721"/>
    <w:rsid w:val="00741D9B"/>
    <w:rsid w:val="00742731"/>
    <w:rsid w:val="00781F15"/>
    <w:rsid w:val="00795B02"/>
    <w:rsid w:val="007A4B5B"/>
    <w:rsid w:val="007C6DB9"/>
    <w:rsid w:val="007C73B5"/>
    <w:rsid w:val="00800305"/>
    <w:rsid w:val="00824CE3"/>
    <w:rsid w:val="00826D33"/>
    <w:rsid w:val="008344D6"/>
    <w:rsid w:val="00843CF9"/>
    <w:rsid w:val="00844D34"/>
    <w:rsid w:val="008507F0"/>
    <w:rsid w:val="008863AF"/>
    <w:rsid w:val="00886F94"/>
    <w:rsid w:val="008A5783"/>
    <w:rsid w:val="008B0894"/>
    <w:rsid w:val="008C597D"/>
    <w:rsid w:val="008D034C"/>
    <w:rsid w:val="008E4397"/>
    <w:rsid w:val="009047A7"/>
    <w:rsid w:val="009102C2"/>
    <w:rsid w:val="00911C7E"/>
    <w:rsid w:val="00952EAE"/>
    <w:rsid w:val="0096475D"/>
    <w:rsid w:val="00967546"/>
    <w:rsid w:val="00994D9D"/>
    <w:rsid w:val="009A11E4"/>
    <w:rsid w:val="009A18FC"/>
    <w:rsid w:val="009A3207"/>
    <w:rsid w:val="009A7716"/>
    <w:rsid w:val="009B6373"/>
    <w:rsid w:val="009B67A5"/>
    <w:rsid w:val="009C08F5"/>
    <w:rsid w:val="009C506B"/>
    <w:rsid w:val="009C523D"/>
    <w:rsid w:val="009D1227"/>
    <w:rsid w:val="009F46DD"/>
    <w:rsid w:val="009F76DB"/>
    <w:rsid w:val="00A12F26"/>
    <w:rsid w:val="00A16E5D"/>
    <w:rsid w:val="00A23003"/>
    <w:rsid w:val="00A41B2F"/>
    <w:rsid w:val="00A550BA"/>
    <w:rsid w:val="00A6485C"/>
    <w:rsid w:val="00AB6DBD"/>
    <w:rsid w:val="00AD0F90"/>
    <w:rsid w:val="00AD6FC0"/>
    <w:rsid w:val="00AE050A"/>
    <w:rsid w:val="00AE3317"/>
    <w:rsid w:val="00AF371C"/>
    <w:rsid w:val="00B034DA"/>
    <w:rsid w:val="00B047A2"/>
    <w:rsid w:val="00B067B3"/>
    <w:rsid w:val="00B16F5C"/>
    <w:rsid w:val="00B218EE"/>
    <w:rsid w:val="00B31CD9"/>
    <w:rsid w:val="00B37023"/>
    <w:rsid w:val="00B40D3C"/>
    <w:rsid w:val="00B40E4E"/>
    <w:rsid w:val="00B420E7"/>
    <w:rsid w:val="00B74953"/>
    <w:rsid w:val="00B80EAE"/>
    <w:rsid w:val="00B967E2"/>
    <w:rsid w:val="00C0597A"/>
    <w:rsid w:val="00C05A06"/>
    <w:rsid w:val="00C12247"/>
    <w:rsid w:val="00C1618F"/>
    <w:rsid w:val="00C31806"/>
    <w:rsid w:val="00C3364A"/>
    <w:rsid w:val="00C4088C"/>
    <w:rsid w:val="00C4439D"/>
    <w:rsid w:val="00C444C2"/>
    <w:rsid w:val="00C649EA"/>
    <w:rsid w:val="00C819CD"/>
    <w:rsid w:val="00CC2A7D"/>
    <w:rsid w:val="00CD2DAF"/>
    <w:rsid w:val="00CE0AB2"/>
    <w:rsid w:val="00CE444F"/>
    <w:rsid w:val="00CE58CC"/>
    <w:rsid w:val="00CF2180"/>
    <w:rsid w:val="00D359CF"/>
    <w:rsid w:val="00D40308"/>
    <w:rsid w:val="00D478CE"/>
    <w:rsid w:val="00D56619"/>
    <w:rsid w:val="00D627A4"/>
    <w:rsid w:val="00D676C4"/>
    <w:rsid w:val="00D75278"/>
    <w:rsid w:val="00D85EC4"/>
    <w:rsid w:val="00D9038F"/>
    <w:rsid w:val="00DA1DBD"/>
    <w:rsid w:val="00DA794E"/>
    <w:rsid w:val="00DB1144"/>
    <w:rsid w:val="00DB36E6"/>
    <w:rsid w:val="00DD7B4B"/>
    <w:rsid w:val="00DE3EFB"/>
    <w:rsid w:val="00DE5EE6"/>
    <w:rsid w:val="00E13040"/>
    <w:rsid w:val="00E23D89"/>
    <w:rsid w:val="00E81EE6"/>
    <w:rsid w:val="00E85697"/>
    <w:rsid w:val="00E90CB2"/>
    <w:rsid w:val="00E95540"/>
    <w:rsid w:val="00EB3F99"/>
    <w:rsid w:val="00EB44FF"/>
    <w:rsid w:val="00EB783D"/>
    <w:rsid w:val="00ED04D0"/>
    <w:rsid w:val="00ED71CA"/>
    <w:rsid w:val="00F12516"/>
    <w:rsid w:val="00F14F7D"/>
    <w:rsid w:val="00F40D75"/>
    <w:rsid w:val="00F42991"/>
    <w:rsid w:val="00F45636"/>
    <w:rsid w:val="00F80AA2"/>
    <w:rsid w:val="00F913CD"/>
    <w:rsid w:val="00FA1183"/>
    <w:rsid w:val="00FA1188"/>
    <w:rsid w:val="00FB10CD"/>
    <w:rsid w:val="00FB3C48"/>
    <w:rsid w:val="00FB5878"/>
    <w:rsid w:val="00FC1C25"/>
    <w:rsid w:val="00FC7C60"/>
    <w:rsid w:val="00FD046D"/>
    <w:rsid w:val="00FD2B5D"/>
    <w:rsid w:val="00FD3475"/>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13779C"/>
    <w:pPr>
      <w:keepNext/>
      <w:keepLines/>
      <w:numPr>
        <w:numId w:val="1"/>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13779C"/>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447E47"/>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13779C"/>
    <w:pPr>
      <w:numPr>
        <w:numId w:val="15"/>
      </w:numPr>
    </w:pPr>
  </w:style>
  <w:style w:type="paragraph" w:customStyle="1" w:styleId="Bullet">
    <w:name w:val="Bullet"/>
    <w:basedOn w:val="Normal"/>
    <w:rsid w:val="0013779C"/>
    <w:pPr>
      <w:numPr>
        <w:numId w:val="16"/>
      </w:numPr>
      <w:spacing w:before="0" w:after="0"/>
    </w:pPr>
    <w:rPr>
      <w:rFonts w:ascii="Times New Roman" w:eastAsia="Times New Roman" w:hAnsi="Times New Roman" w:cs="Times New Roman"/>
      <w:color w:val="auto"/>
      <w:lang w:eastAsia="en-GB"/>
    </w:rPr>
  </w:style>
  <w:style w:type="paragraph" w:styleId="TOCHeading">
    <w:name w:val="TOC Heading"/>
    <w:basedOn w:val="Heading1"/>
    <w:next w:val="Normal"/>
    <w:uiPriority w:val="39"/>
    <w:unhideWhenUsed/>
    <w:qFormat/>
    <w:rsid w:val="00C444C2"/>
    <w:pPr>
      <w:spacing w:after="0" w:line="259" w:lineRule="auto"/>
      <w:outlineLvl w:val="9"/>
    </w:pPr>
    <w:rPr>
      <w:b w:val="0"/>
      <w:color w:val="002365" w:themeColor="accent1" w:themeShade="BF"/>
      <w:lang w:val="en-US"/>
    </w:rPr>
  </w:style>
  <w:style w:type="paragraph" w:customStyle="1" w:styleId="Default">
    <w:name w:val="Default"/>
    <w:rsid w:val="00824CE3"/>
    <w:pPr>
      <w:autoSpaceDE w:val="0"/>
      <w:autoSpaceDN w:val="0"/>
      <w:adjustRightInd w:val="0"/>
    </w:pPr>
    <w:rPr>
      <w:rFonts w:ascii="Arial" w:eastAsiaTheme="minorEastAsia" w:hAnsi="Arial" w:cs="Arial"/>
      <w:color w:val="000000"/>
      <w:lang w:eastAsia="en-GB"/>
    </w:rPr>
  </w:style>
  <w:style w:type="paragraph" w:customStyle="1" w:styleId="ms-rtefontsize-2">
    <w:name w:val="ms-rtefontsize-2"/>
    <w:basedOn w:val="Normal"/>
    <w:rsid w:val="007C6DB9"/>
    <w:pPr>
      <w:spacing w:before="0" w:after="0"/>
      <w:ind w:left="0"/>
    </w:pPr>
    <w:rPr>
      <w:rFonts w:ascii="Calibri" w:hAnsi="Calibri" w:cs="Calibri"/>
      <w:color w:val="auto"/>
      <w:lang w:eastAsia="en-GB"/>
    </w:rPr>
  </w:style>
  <w:style w:type="character" w:styleId="Strong">
    <w:name w:val="Strong"/>
    <w:basedOn w:val="DefaultParagraphFont"/>
    <w:uiPriority w:val="22"/>
    <w:qFormat/>
    <w:rsid w:val="007C6DB9"/>
    <w:rPr>
      <w:b/>
      <w:bCs/>
    </w:rPr>
  </w:style>
  <w:style w:type="paragraph" w:styleId="Revision">
    <w:name w:val="Revision"/>
    <w:hidden/>
    <w:uiPriority w:val="99"/>
    <w:semiHidden/>
    <w:rsid w:val="00886F94"/>
    <w:rPr>
      <w:color w:val="231F20" w:themeColor="text1"/>
    </w:rPr>
  </w:style>
  <w:style w:type="character" w:styleId="UnresolvedMention">
    <w:name w:val="Unresolved Mention"/>
    <w:basedOn w:val="DefaultParagraphFont"/>
    <w:uiPriority w:val="99"/>
    <w:semiHidden/>
    <w:unhideWhenUsed/>
    <w:rsid w:val="0090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9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gland.nhs.uk/wp-content/uploads/2020/12/B0319-Violence-Prevention-Reduction-Standards.pdf" TargetMode="External"/><Relationship Id="rId18" Type="http://schemas.openxmlformats.org/officeDocument/2006/relationships/hyperlink" Target="https://www.hse.gov.uk/riddo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 TargetMode="External"/><Relationship Id="rId17" Type="http://schemas.openxmlformats.org/officeDocument/2006/relationships/hyperlink" Target="https://www.hse.gov.uk/pubns/indg7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pga/1974/37/contents" TargetMode="External"/><Relationship Id="rId20" Type="http://schemas.openxmlformats.org/officeDocument/2006/relationships/hyperlink" Target="https://skillsforhealth.org.uk/wp-content/uploads/2021/07/CSTF-Eng-Subject-Guide-v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n.org.uk/get-help/rcn-advice/prioritising-personal-safety" TargetMode="External"/><Relationship Id="rId23" Type="http://schemas.openxmlformats.org/officeDocument/2006/relationships/header" Target="header3.xml"/><Relationship Id="rId10" Type="http://schemas.openxmlformats.org/officeDocument/2006/relationships/hyperlink" Target="https://www.midandsouthessex.ics.nhs.uk/publications/?publications_category=icb-policies" TargetMode="External"/><Relationship Id="rId19" Type="http://schemas.openxmlformats.org/officeDocument/2006/relationships/hyperlink" Target="https://www.hse.gov.uk/simple-health-safety/risk/risk-assessment-template-and-examples.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cn.org.uk/professional-development/publications/pub-005716" TargetMode="External"/><Relationship Id="rId22" Type="http://schemas.openxmlformats.org/officeDocument/2006/relationships/hyperlink" Target="mailto:julie.hill2@wmas.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68</TotalTime>
  <Pages>1</Pages>
  <Words>6443</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Policy for Policies, Version 0.2</vt:lpstr>
    </vt:vector>
  </TitlesOfParts>
  <Manager/>
  <Company/>
  <LinksUpToDate>false</LinksUpToDate>
  <CharactersWithSpaces>43083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Policies, Version 0.2</dc:title>
  <dc:subject/>
  <dc:creator>Adams Nicola (07G) Thurrock CCG</dc:creator>
  <cp:keywords/>
  <dc:description/>
  <cp:lastModifiedBy>O'CONNOR, Sara (NHS MID AND SOUTH ESSEX ICB - 06Q)</cp:lastModifiedBy>
  <cp:revision>5</cp:revision>
  <cp:lastPrinted>2021-12-03T14:01:00Z</cp:lastPrinted>
  <dcterms:created xsi:type="dcterms:W3CDTF">2022-08-10T09:38:00Z</dcterms:created>
  <dcterms:modified xsi:type="dcterms:W3CDTF">2022-08-12T09:01:00Z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julie.hill2@wmas.nhs.uk</vt:lpwstr>
  </property>
  <property fmtid="{D5CDD505-2E9C-101B-9397-08002B2CF9AE}" pid="5" name="MSIP_Label_c2a745c6-cdb5-4dce-8279-51c21c4822c2_SetDate">
    <vt:lpwstr>2022-06-17T07:17:30.9942466Z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599d820b-0a12-4a1f-b01a-4481bfd77cb3</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ies>
</file>