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0F28B" w14:textId="77777777" w:rsidR="00D56D58" w:rsidRDefault="009C523D" w:rsidP="00C2062B">
      <w:pPr>
        <w:spacing w:after="0"/>
      </w:pPr>
      <w:bookmarkStart w:id="0" w:name="_Toc85717490"/>
      <w:r>
        <w:br/>
      </w:r>
      <w:r>
        <w:br/>
      </w:r>
      <w:r>
        <w:br/>
      </w:r>
      <w:r>
        <w:br/>
      </w:r>
      <w:r>
        <w:br/>
      </w:r>
      <w:r>
        <w:br/>
      </w:r>
      <w:r>
        <w:br/>
      </w:r>
      <w:r>
        <w:br/>
      </w:r>
      <w:r>
        <w:br/>
      </w:r>
      <w:r>
        <w:br/>
      </w:r>
      <w:r>
        <w:br/>
      </w:r>
      <w:r>
        <w:br/>
      </w:r>
      <w:r>
        <w:br/>
      </w:r>
      <w:r>
        <w:br/>
      </w:r>
      <w:r>
        <w:br/>
      </w:r>
    </w:p>
    <w:p w14:paraId="2868BC1F" w14:textId="77777777" w:rsidR="00D56D58" w:rsidRDefault="00D56D58" w:rsidP="00C2062B">
      <w:pPr>
        <w:spacing w:after="0"/>
      </w:pPr>
    </w:p>
    <w:p w14:paraId="55B00B45" w14:textId="77777777" w:rsidR="00D56D58" w:rsidRDefault="00D56D58" w:rsidP="00C2062B">
      <w:pPr>
        <w:spacing w:after="0"/>
      </w:pPr>
    </w:p>
    <w:p w14:paraId="58DFBFC5" w14:textId="77777777" w:rsidR="00D56D58" w:rsidRDefault="00D56D58" w:rsidP="00C2062B">
      <w:pPr>
        <w:spacing w:after="0"/>
      </w:pPr>
    </w:p>
    <w:p w14:paraId="3E5EA987" w14:textId="77777777" w:rsidR="00D56D58" w:rsidRDefault="00D56D58" w:rsidP="00C2062B">
      <w:pPr>
        <w:spacing w:after="0"/>
      </w:pPr>
    </w:p>
    <w:p w14:paraId="51EC3D24" w14:textId="125871ED" w:rsidR="00D56D58" w:rsidRDefault="00D56D58" w:rsidP="00C2062B">
      <w:pPr>
        <w:spacing w:after="0"/>
      </w:pPr>
    </w:p>
    <w:p w14:paraId="66174F10" w14:textId="2740FAF8" w:rsidR="00D56D58" w:rsidRDefault="00D56D58" w:rsidP="00C2062B">
      <w:pPr>
        <w:spacing w:after="0"/>
      </w:pPr>
    </w:p>
    <w:p w14:paraId="02E8D3FD" w14:textId="77777777" w:rsidR="00D56D58" w:rsidRDefault="00D56D58" w:rsidP="00C2062B">
      <w:pPr>
        <w:spacing w:after="0"/>
      </w:pPr>
    </w:p>
    <w:p w14:paraId="6846A8FA" w14:textId="2EF808AA" w:rsidR="00D56D58" w:rsidRDefault="00D56D58" w:rsidP="00C2062B">
      <w:pPr>
        <w:spacing w:after="0"/>
      </w:pPr>
    </w:p>
    <w:p w14:paraId="7C712471" w14:textId="77777777" w:rsidR="00842F2E" w:rsidRDefault="00842F2E" w:rsidP="00C2062B">
      <w:pPr>
        <w:spacing w:after="0"/>
      </w:pPr>
    </w:p>
    <w:p w14:paraId="2E00D2C8" w14:textId="19EBE238" w:rsidR="0086467C" w:rsidRDefault="009C523D" w:rsidP="00C2062B">
      <w:pPr>
        <w:spacing w:after="0"/>
        <w:ind w:left="0"/>
        <w:rPr>
          <w:rFonts w:asciiTheme="majorHAnsi" w:eastAsiaTheme="majorEastAsia" w:hAnsiTheme="majorHAnsi" w:cstheme="majorBidi"/>
          <w:b/>
          <w:color w:val="005EB8" w:themeColor="accent2"/>
          <w:spacing w:val="-10"/>
          <w:kern w:val="28"/>
          <w:sz w:val="56"/>
          <w:szCs w:val="56"/>
        </w:rPr>
      </w:pPr>
      <w:r>
        <w:br/>
      </w:r>
      <w:r>
        <w:br/>
      </w:r>
    </w:p>
    <w:p w14:paraId="790AB219" w14:textId="07826EBB" w:rsidR="00887057" w:rsidRPr="005727DF" w:rsidRDefault="00887057" w:rsidP="00C2062B">
      <w:pPr>
        <w:spacing w:before="0" w:after="0"/>
        <w:ind w:left="0"/>
        <w:rPr>
          <w:rFonts w:ascii="Arial" w:hAnsi="Arial" w:cs="Arial"/>
        </w:rPr>
      </w:pPr>
      <w:r w:rsidRPr="00887057">
        <w:rPr>
          <w:rFonts w:asciiTheme="majorHAnsi" w:eastAsiaTheme="majorEastAsia" w:hAnsiTheme="majorHAnsi" w:cstheme="majorBidi"/>
          <w:b/>
          <w:color w:val="005EB8" w:themeColor="accent2"/>
          <w:spacing w:val="-10"/>
          <w:kern w:val="28"/>
          <w:sz w:val="56"/>
          <w:szCs w:val="56"/>
        </w:rPr>
        <w:t>Counterterrorism and Security Act 2015</w:t>
      </w:r>
      <w:r w:rsidR="00D56D58">
        <w:rPr>
          <w:rFonts w:asciiTheme="majorHAnsi" w:eastAsiaTheme="majorEastAsia" w:hAnsiTheme="majorHAnsi" w:cstheme="majorBidi"/>
          <w:b/>
          <w:color w:val="005EB8" w:themeColor="accent2"/>
          <w:spacing w:val="-10"/>
          <w:kern w:val="28"/>
          <w:sz w:val="56"/>
          <w:szCs w:val="56"/>
        </w:rPr>
        <w:t xml:space="preserve"> </w:t>
      </w:r>
      <w:r w:rsidRPr="00887057">
        <w:rPr>
          <w:rFonts w:asciiTheme="majorHAnsi" w:eastAsiaTheme="majorEastAsia" w:hAnsiTheme="majorHAnsi" w:cstheme="majorBidi"/>
          <w:b/>
          <w:color w:val="005EB8" w:themeColor="accent2"/>
          <w:spacing w:val="-10"/>
          <w:kern w:val="28"/>
          <w:sz w:val="56"/>
          <w:szCs w:val="56"/>
        </w:rPr>
        <w:t>(including Prevent Duty and Radicalisation)</w:t>
      </w:r>
      <w:r w:rsidR="004259F3">
        <w:rPr>
          <w:rFonts w:asciiTheme="majorHAnsi" w:eastAsiaTheme="majorEastAsia" w:hAnsiTheme="majorHAnsi" w:cstheme="majorBidi"/>
          <w:b/>
          <w:color w:val="005EB8" w:themeColor="accent2"/>
          <w:spacing w:val="-10"/>
          <w:kern w:val="28"/>
          <w:sz w:val="56"/>
          <w:szCs w:val="56"/>
        </w:rPr>
        <w:t xml:space="preserve"> Policy</w:t>
      </w:r>
    </w:p>
    <w:p w14:paraId="14ACB7D8" w14:textId="1871FDBD" w:rsidR="003A663C" w:rsidRPr="003A663C" w:rsidRDefault="003A663C" w:rsidP="00C2062B">
      <w:pPr>
        <w:pStyle w:val="Title"/>
      </w:pPr>
      <w:bookmarkStart w:id="1" w:name="_Toc88478171"/>
      <w:bookmarkEnd w:id="0"/>
      <w:r>
        <w:br w:type="page"/>
      </w:r>
    </w:p>
    <w:p w14:paraId="4115932A" w14:textId="08D7CF9B" w:rsidR="00FD2B5D" w:rsidRDefault="00FD2B5D" w:rsidP="00C2062B">
      <w:pPr>
        <w:pStyle w:val="Heading1"/>
      </w:pPr>
      <w:r w:rsidRPr="00DA22B6">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C26FBF" w:rsidRPr="00C26FBF" w14:paraId="1CA4468D" w14:textId="77777777" w:rsidTr="00C26FBF">
        <w:trPr>
          <w:tblHeader/>
        </w:trPr>
        <w:tc>
          <w:tcPr>
            <w:tcW w:w="4395" w:type="dxa"/>
            <w:shd w:val="clear" w:color="auto" w:fill="003087" w:themeFill="accent1"/>
          </w:tcPr>
          <w:p w14:paraId="00987AE9" w14:textId="15B4A396" w:rsidR="00C26FBF" w:rsidRPr="00C26FBF" w:rsidRDefault="00C26FBF" w:rsidP="00E9260C">
            <w:pPr>
              <w:spacing w:before="0" w:after="0"/>
              <w:ind w:left="0"/>
              <w:rPr>
                <w:b/>
                <w:bCs/>
                <w:color w:val="FFFFFF" w:themeColor="background1"/>
              </w:rPr>
            </w:pPr>
            <w:r w:rsidRPr="00C26FBF">
              <w:rPr>
                <w:b/>
                <w:bCs/>
                <w:color w:val="FFFFFF" w:themeColor="background1"/>
              </w:rPr>
              <w:t>Document Control Information</w:t>
            </w:r>
          </w:p>
        </w:tc>
        <w:tc>
          <w:tcPr>
            <w:tcW w:w="4677" w:type="dxa"/>
          </w:tcPr>
          <w:p w14:paraId="74AFF058" w14:textId="6C285CD7" w:rsidR="00C26FBF" w:rsidRPr="00C26FBF" w:rsidRDefault="00C26FBF" w:rsidP="00E9260C">
            <w:pPr>
              <w:spacing w:before="0" w:after="0"/>
              <w:ind w:left="0"/>
              <w:rPr>
                <w:rFonts w:ascii="Arial" w:eastAsia="Times New Roman" w:hAnsi="Arial" w:cs="Arial"/>
                <w:b/>
                <w:bCs/>
                <w:lang w:eastAsia="en-GB"/>
              </w:rPr>
            </w:pPr>
            <w:r w:rsidRPr="00C26FBF">
              <w:rPr>
                <w:rFonts w:ascii="Arial" w:eastAsia="Times New Roman" w:hAnsi="Arial" w:cs="Arial"/>
                <w:b/>
                <w:bCs/>
                <w:lang w:eastAsia="en-GB"/>
              </w:rPr>
              <w:t>Details</w:t>
            </w:r>
          </w:p>
        </w:tc>
      </w:tr>
      <w:tr w:rsidR="0029297D" w:rsidRPr="00777E05" w14:paraId="2EB9E6E8" w14:textId="77777777" w:rsidTr="00E9260C">
        <w:tc>
          <w:tcPr>
            <w:tcW w:w="4395" w:type="dxa"/>
            <w:shd w:val="clear" w:color="auto" w:fill="003087" w:themeFill="accent1"/>
          </w:tcPr>
          <w:p w14:paraId="18B72B5F" w14:textId="77777777" w:rsidR="0029297D" w:rsidRPr="00777E05" w:rsidRDefault="0029297D" w:rsidP="00E9260C">
            <w:pPr>
              <w:spacing w:before="0" w:after="0"/>
              <w:ind w:left="0"/>
              <w:rPr>
                <w:color w:val="FFFFFF" w:themeColor="background1"/>
              </w:rPr>
            </w:pPr>
            <w:r w:rsidRPr="00777E05">
              <w:rPr>
                <w:color w:val="FFFFFF" w:themeColor="background1"/>
              </w:rPr>
              <w:t>Policy Name</w:t>
            </w:r>
          </w:p>
        </w:tc>
        <w:tc>
          <w:tcPr>
            <w:tcW w:w="4677" w:type="dxa"/>
          </w:tcPr>
          <w:p w14:paraId="4607A7B7" w14:textId="42D60AB8" w:rsidR="0029297D" w:rsidRPr="00777E05" w:rsidRDefault="0029297D" w:rsidP="00E9260C">
            <w:pPr>
              <w:spacing w:before="0" w:after="0"/>
              <w:ind w:left="0"/>
            </w:pPr>
            <w:r w:rsidRPr="00002181">
              <w:rPr>
                <w:rFonts w:ascii="Arial" w:eastAsia="Times New Roman" w:hAnsi="Arial" w:cs="Arial"/>
                <w:lang w:eastAsia="en-GB"/>
              </w:rPr>
              <w:t>Counterterrorism and Security Act 2015 (including Prevent Duty and Radicalisation)</w:t>
            </w:r>
            <w:r w:rsidR="004259F3">
              <w:rPr>
                <w:rFonts w:ascii="Arial" w:eastAsia="Times New Roman" w:hAnsi="Arial" w:cs="Arial"/>
                <w:lang w:eastAsia="en-GB"/>
              </w:rPr>
              <w:t xml:space="preserve"> Policy</w:t>
            </w:r>
          </w:p>
        </w:tc>
      </w:tr>
      <w:tr w:rsidR="0029297D" w:rsidRPr="00777E05" w14:paraId="787D7604" w14:textId="77777777" w:rsidTr="00E9260C">
        <w:tc>
          <w:tcPr>
            <w:tcW w:w="4395" w:type="dxa"/>
            <w:shd w:val="clear" w:color="auto" w:fill="003087" w:themeFill="accent1"/>
          </w:tcPr>
          <w:p w14:paraId="2CDC1A70" w14:textId="77777777" w:rsidR="0029297D" w:rsidRPr="00777E05" w:rsidRDefault="0029297D" w:rsidP="00E9260C">
            <w:pPr>
              <w:spacing w:before="0" w:after="0"/>
              <w:ind w:left="0"/>
              <w:rPr>
                <w:color w:val="FFFFFF" w:themeColor="background1"/>
              </w:rPr>
            </w:pPr>
            <w:r w:rsidRPr="00777E05">
              <w:rPr>
                <w:color w:val="FFFFFF" w:themeColor="background1"/>
              </w:rPr>
              <w:t>Policy Number</w:t>
            </w:r>
          </w:p>
        </w:tc>
        <w:tc>
          <w:tcPr>
            <w:tcW w:w="4677" w:type="dxa"/>
          </w:tcPr>
          <w:p w14:paraId="12EF1175" w14:textId="548C30FC" w:rsidR="0029297D" w:rsidRPr="00C20FE2" w:rsidRDefault="004259F3" w:rsidP="00E9260C">
            <w:pPr>
              <w:spacing w:before="0" w:after="0"/>
              <w:ind w:left="0"/>
              <w:rPr>
                <w:highlight w:val="yellow"/>
              </w:rPr>
            </w:pPr>
            <w:r w:rsidRPr="004259F3">
              <w:t>MSEICB 071</w:t>
            </w:r>
          </w:p>
        </w:tc>
      </w:tr>
      <w:tr w:rsidR="0029297D" w:rsidRPr="00777E05" w14:paraId="3363E3C9" w14:textId="77777777" w:rsidTr="00E9260C">
        <w:tc>
          <w:tcPr>
            <w:tcW w:w="4395" w:type="dxa"/>
            <w:shd w:val="clear" w:color="auto" w:fill="003087" w:themeFill="accent1"/>
          </w:tcPr>
          <w:p w14:paraId="0025605B" w14:textId="77777777" w:rsidR="0029297D" w:rsidRPr="00777E05" w:rsidRDefault="0029297D" w:rsidP="00E9260C">
            <w:pPr>
              <w:spacing w:before="0" w:after="0"/>
              <w:ind w:left="0"/>
              <w:rPr>
                <w:color w:val="FFFFFF" w:themeColor="background1"/>
              </w:rPr>
            </w:pPr>
            <w:r w:rsidRPr="00777E05">
              <w:rPr>
                <w:color w:val="FFFFFF" w:themeColor="background1"/>
              </w:rPr>
              <w:t>Version</w:t>
            </w:r>
          </w:p>
        </w:tc>
        <w:tc>
          <w:tcPr>
            <w:tcW w:w="4677" w:type="dxa"/>
          </w:tcPr>
          <w:p w14:paraId="34EE41ED" w14:textId="11824796" w:rsidR="0029297D" w:rsidRPr="00C20FE2" w:rsidRDefault="00553B7A" w:rsidP="00E9260C">
            <w:pPr>
              <w:spacing w:before="0" w:after="0"/>
              <w:ind w:left="0"/>
              <w:rPr>
                <w:highlight w:val="yellow"/>
              </w:rPr>
            </w:pPr>
            <w:r w:rsidRPr="00553B7A">
              <w:t>1</w:t>
            </w:r>
            <w:r w:rsidR="004259F3">
              <w:t>.0</w:t>
            </w:r>
          </w:p>
        </w:tc>
      </w:tr>
      <w:tr w:rsidR="0029297D" w:rsidRPr="00777E05" w14:paraId="40AF3EA4" w14:textId="77777777" w:rsidTr="00E9260C">
        <w:tc>
          <w:tcPr>
            <w:tcW w:w="4395" w:type="dxa"/>
            <w:shd w:val="clear" w:color="auto" w:fill="003087" w:themeFill="accent1"/>
          </w:tcPr>
          <w:p w14:paraId="1A267136" w14:textId="77777777" w:rsidR="0029297D" w:rsidRPr="00777E05" w:rsidRDefault="0029297D" w:rsidP="00E9260C">
            <w:pPr>
              <w:spacing w:before="0" w:after="0"/>
              <w:ind w:left="0"/>
              <w:rPr>
                <w:color w:val="FFFFFF" w:themeColor="background1"/>
              </w:rPr>
            </w:pPr>
            <w:r w:rsidRPr="00777E05">
              <w:rPr>
                <w:color w:val="FFFFFF" w:themeColor="background1"/>
              </w:rPr>
              <w:t>Status</w:t>
            </w:r>
          </w:p>
        </w:tc>
        <w:tc>
          <w:tcPr>
            <w:tcW w:w="4677" w:type="dxa"/>
          </w:tcPr>
          <w:p w14:paraId="4FD1DA44" w14:textId="5517B126" w:rsidR="0029297D" w:rsidRPr="00777E05" w:rsidRDefault="0067072A" w:rsidP="00E9260C">
            <w:pPr>
              <w:spacing w:before="0" w:after="0"/>
              <w:ind w:left="0"/>
            </w:pPr>
            <w:r>
              <w:t>Final</w:t>
            </w:r>
            <w:r w:rsidR="0029297D" w:rsidRPr="0029297D">
              <w:t xml:space="preserve"> ICB Policy</w:t>
            </w:r>
          </w:p>
        </w:tc>
      </w:tr>
      <w:tr w:rsidR="0029297D" w:rsidRPr="00777E05" w14:paraId="47CFC7FE" w14:textId="77777777" w:rsidTr="00E9260C">
        <w:tc>
          <w:tcPr>
            <w:tcW w:w="4395" w:type="dxa"/>
            <w:shd w:val="clear" w:color="auto" w:fill="003087" w:themeFill="accent1"/>
          </w:tcPr>
          <w:p w14:paraId="1E02EE8D" w14:textId="77777777" w:rsidR="0029297D" w:rsidRPr="00777E05" w:rsidRDefault="0029297D" w:rsidP="00E9260C">
            <w:pPr>
              <w:spacing w:before="0" w:after="0"/>
              <w:ind w:left="0"/>
              <w:rPr>
                <w:color w:val="FFFFFF" w:themeColor="background1"/>
              </w:rPr>
            </w:pPr>
            <w:r w:rsidRPr="00777E05">
              <w:rPr>
                <w:color w:val="FFFFFF" w:themeColor="background1"/>
              </w:rPr>
              <w:t>Author / Lead</w:t>
            </w:r>
          </w:p>
        </w:tc>
        <w:tc>
          <w:tcPr>
            <w:tcW w:w="4677" w:type="dxa"/>
          </w:tcPr>
          <w:p w14:paraId="718649F2" w14:textId="1D648526" w:rsidR="0029297D" w:rsidRPr="00777E05" w:rsidRDefault="00553B7A" w:rsidP="00E9260C">
            <w:pPr>
              <w:spacing w:before="0" w:after="0"/>
              <w:ind w:left="0"/>
            </w:pPr>
            <w:r>
              <w:t>Safeguarding Lead</w:t>
            </w:r>
          </w:p>
        </w:tc>
      </w:tr>
      <w:tr w:rsidR="0029297D" w:rsidRPr="00777E05" w14:paraId="0C9CE626" w14:textId="77777777" w:rsidTr="00E9260C">
        <w:tc>
          <w:tcPr>
            <w:tcW w:w="4395" w:type="dxa"/>
            <w:shd w:val="clear" w:color="auto" w:fill="003087" w:themeFill="accent1"/>
          </w:tcPr>
          <w:p w14:paraId="09383784" w14:textId="77777777" w:rsidR="0029297D" w:rsidRPr="00777E05" w:rsidRDefault="0029297D" w:rsidP="00E9260C">
            <w:pPr>
              <w:spacing w:before="0" w:after="0"/>
              <w:ind w:left="0"/>
              <w:rPr>
                <w:color w:val="FFFFFF" w:themeColor="background1"/>
              </w:rPr>
            </w:pPr>
            <w:r w:rsidRPr="00777E05">
              <w:rPr>
                <w:color w:val="FFFFFF" w:themeColor="background1"/>
              </w:rPr>
              <w:t>Responsible Executive Director</w:t>
            </w:r>
          </w:p>
        </w:tc>
        <w:tc>
          <w:tcPr>
            <w:tcW w:w="4677" w:type="dxa"/>
          </w:tcPr>
          <w:p w14:paraId="4CB66711" w14:textId="5D5E305E" w:rsidR="0029297D" w:rsidRPr="00C20FE2" w:rsidRDefault="00941CDE" w:rsidP="00E9260C">
            <w:pPr>
              <w:spacing w:before="0" w:after="0"/>
              <w:ind w:left="0"/>
              <w:rPr>
                <w:highlight w:val="yellow"/>
              </w:rPr>
            </w:pPr>
            <w:r>
              <w:t>Executive Director of Nursing</w:t>
            </w:r>
            <w:r w:rsidR="00515097">
              <w:t xml:space="preserve"> and Quality</w:t>
            </w:r>
          </w:p>
        </w:tc>
      </w:tr>
      <w:tr w:rsidR="0029297D" w:rsidRPr="00777E05" w14:paraId="30E4C9EF" w14:textId="77777777" w:rsidTr="00E9260C">
        <w:tc>
          <w:tcPr>
            <w:tcW w:w="4395" w:type="dxa"/>
            <w:shd w:val="clear" w:color="auto" w:fill="003087" w:themeFill="accent1"/>
          </w:tcPr>
          <w:p w14:paraId="7A35F3A7" w14:textId="77777777" w:rsidR="0029297D" w:rsidRPr="00777E05" w:rsidRDefault="0029297D" w:rsidP="00E9260C">
            <w:pPr>
              <w:spacing w:before="0" w:after="0"/>
              <w:ind w:left="0"/>
              <w:rPr>
                <w:color w:val="FFFFFF" w:themeColor="background1"/>
              </w:rPr>
            </w:pPr>
            <w:r w:rsidRPr="00777E05">
              <w:rPr>
                <w:color w:val="FFFFFF" w:themeColor="background1"/>
              </w:rPr>
              <w:t>Responsible Committee</w:t>
            </w:r>
          </w:p>
        </w:tc>
        <w:tc>
          <w:tcPr>
            <w:tcW w:w="4677" w:type="dxa"/>
          </w:tcPr>
          <w:p w14:paraId="02D1422F" w14:textId="363D620F" w:rsidR="0029297D" w:rsidRPr="00C20FE2" w:rsidRDefault="00553B7A" w:rsidP="00E9260C">
            <w:pPr>
              <w:spacing w:before="0" w:after="0"/>
              <w:ind w:left="0"/>
              <w:rPr>
                <w:color w:val="auto"/>
                <w:highlight w:val="yellow"/>
              </w:rPr>
            </w:pPr>
            <w:r w:rsidRPr="00553B7A">
              <w:rPr>
                <w:color w:val="auto"/>
              </w:rPr>
              <w:t>Quality Committee</w:t>
            </w:r>
          </w:p>
        </w:tc>
      </w:tr>
      <w:tr w:rsidR="0029297D" w:rsidRPr="00777E05" w14:paraId="33A525B2" w14:textId="77777777" w:rsidTr="00E9260C">
        <w:tc>
          <w:tcPr>
            <w:tcW w:w="4395" w:type="dxa"/>
            <w:shd w:val="clear" w:color="auto" w:fill="003087" w:themeFill="accent1"/>
          </w:tcPr>
          <w:p w14:paraId="5423ACE4" w14:textId="77777777" w:rsidR="0029297D" w:rsidRPr="00777E05" w:rsidRDefault="0029297D" w:rsidP="00E9260C">
            <w:pPr>
              <w:spacing w:before="0" w:after="0"/>
              <w:ind w:left="0"/>
              <w:rPr>
                <w:color w:val="FFFFFF" w:themeColor="background1"/>
              </w:rPr>
            </w:pPr>
            <w:r w:rsidRPr="00777E05">
              <w:rPr>
                <w:color w:val="FFFFFF" w:themeColor="background1"/>
              </w:rPr>
              <w:t>Date Ratified by Responsible Committee</w:t>
            </w:r>
          </w:p>
        </w:tc>
        <w:tc>
          <w:tcPr>
            <w:tcW w:w="4677" w:type="dxa"/>
          </w:tcPr>
          <w:p w14:paraId="77AC9A37" w14:textId="77777777" w:rsidR="0029297D" w:rsidRPr="00455F9A" w:rsidRDefault="0029297D" w:rsidP="00E9260C">
            <w:pPr>
              <w:spacing w:before="0" w:after="0"/>
              <w:ind w:left="0"/>
              <w:rPr>
                <w:color w:val="auto"/>
              </w:rPr>
            </w:pPr>
            <w:r w:rsidRPr="00455F9A">
              <w:rPr>
                <w:color w:val="auto"/>
              </w:rPr>
              <w:t>24 January 2022</w:t>
            </w:r>
          </w:p>
        </w:tc>
      </w:tr>
      <w:tr w:rsidR="0029297D" w:rsidRPr="00777E05" w14:paraId="71537205" w14:textId="77777777" w:rsidTr="00E9260C">
        <w:tc>
          <w:tcPr>
            <w:tcW w:w="4395" w:type="dxa"/>
            <w:shd w:val="clear" w:color="auto" w:fill="003087" w:themeFill="accent1"/>
          </w:tcPr>
          <w:p w14:paraId="61A3DEED" w14:textId="77777777" w:rsidR="0029297D" w:rsidRPr="00777E05" w:rsidRDefault="0029297D" w:rsidP="00E9260C">
            <w:pPr>
              <w:spacing w:before="0" w:after="0"/>
              <w:ind w:left="0"/>
              <w:rPr>
                <w:color w:val="FFFFFF" w:themeColor="background1"/>
              </w:rPr>
            </w:pPr>
            <w:r w:rsidRPr="00777E05">
              <w:rPr>
                <w:color w:val="FFFFFF" w:themeColor="background1"/>
              </w:rPr>
              <w:t>Date Approved by Board/Effective Date</w:t>
            </w:r>
          </w:p>
        </w:tc>
        <w:tc>
          <w:tcPr>
            <w:tcW w:w="4677" w:type="dxa"/>
          </w:tcPr>
          <w:p w14:paraId="66AC0BF4" w14:textId="77777777" w:rsidR="0029297D" w:rsidRPr="00455F9A" w:rsidRDefault="0029297D" w:rsidP="00E9260C">
            <w:pPr>
              <w:spacing w:before="0" w:after="0"/>
              <w:ind w:left="0"/>
              <w:rPr>
                <w:color w:val="auto"/>
              </w:rPr>
            </w:pPr>
            <w:r w:rsidRPr="00455F9A">
              <w:rPr>
                <w:color w:val="auto"/>
              </w:rPr>
              <w:t>1 July 2022</w:t>
            </w:r>
          </w:p>
        </w:tc>
      </w:tr>
      <w:tr w:rsidR="0029297D" w:rsidRPr="00777E05" w14:paraId="63931A1E" w14:textId="77777777" w:rsidTr="00E9260C">
        <w:tc>
          <w:tcPr>
            <w:tcW w:w="4395" w:type="dxa"/>
            <w:shd w:val="clear" w:color="auto" w:fill="003087" w:themeFill="accent1"/>
          </w:tcPr>
          <w:p w14:paraId="294A169D" w14:textId="77777777" w:rsidR="0029297D" w:rsidRPr="00777E05" w:rsidRDefault="0029297D" w:rsidP="00E9260C">
            <w:pPr>
              <w:spacing w:before="0" w:after="0"/>
              <w:ind w:left="0"/>
              <w:rPr>
                <w:color w:val="FFFFFF" w:themeColor="background1"/>
              </w:rPr>
            </w:pPr>
            <w:r w:rsidRPr="00777E05">
              <w:rPr>
                <w:color w:val="FFFFFF" w:themeColor="background1"/>
              </w:rPr>
              <w:t>Next Review Date</w:t>
            </w:r>
          </w:p>
        </w:tc>
        <w:tc>
          <w:tcPr>
            <w:tcW w:w="4677" w:type="dxa"/>
          </w:tcPr>
          <w:p w14:paraId="1A5254FC" w14:textId="4FE9BA9F" w:rsidR="0029297D" w:rsidRPr="00777E05" w:rsidRDefault="00553B7A" w:rsidP="00E9260C">
            <w:pPr>
              <w:spacing w:before="0" w:after="0"/>
              <w:ind w:left="0"/>
              <w:rPr>
                <w:color w:val="auto"/>
              </w:rPr>
            </w:pPr>
            <w:r>
              <w:rPr>
                <w:color w:val="auto"/>
              </w:rPr>
              <w:t>1 July 2024</w:t>
            </w:r>
          </w:p>
        </w:tc>
      </w:tr>
      <w:tr w:rsidR="0029297D" w:rsidRPr="00777E05" w14:paraId="22D0D6DE" w14:textId="77777777" w:rsidTr="00E9260C">
        <w:tc>
          <w:tcPr>
            <w:tcW w:w="4395" w:type="dxa"/>
            <w:shd w:val="clear" w:color="auto" w:fill="003087" w:themeFill="accent1"/>
          </w:tcPr>
          <w:p w14:paraId="1D5DD12F" w14:textId="77777777" w:rsidR="0029297D" w:rsidRPr="00777E05" w:rsidRDefault="0029297D" w:rsidP="00E9260C">
            <w:pPr>
              <w:spacing w:before="0" w:after="0"/>
              <w:ind w:left="0"/>
              <w:rPr>
                <w:color w:val="FFFFFF" w:themeColor="background1"/>
              </w:rPr>
            </w:pPr>
            <w:r w:rsidRPr="00777E05">
              <w:rPr>
                <w:color w:val="FFFFFF" w:themeColor="background1"/>
              </w:rPr>
              <w:t>Target Audience</w:t>
            </w:r>
          </w:p>
        </w:tc>
        <w:tc>
          <w:tcPr>
            <w:tcW w:w="4677" w:type="dxa"/>
          </w:tcPr>
          <w:p w14:paraId="332EBB36" w14:textId="7E24BBEB" w:rsidR="0029297D" w:rsidRPr="00E075D7" w:rsidRDefault="00553B7A" w:rsidP="00E9260C">
            <w:pPr>
              <w:spacing w:before="0" w:after="0"/>
              <w:ind w:left="0"/>
              <w:rPr>
                <w:color w:val="auto"/>
              </w:rPr>
            </w:pPr>
            <w:r w:rsidRPr="00774655">
              <w:rPr>
                <w:lang w:val="en-US"/>
              </w:rPr>
              <w:t xml:space="preserve">This policy is applicable to all staff employed by the </w:t>
            </w:r>
            <w:r>
              <w:rPr>
                <w:lang w:val="en-US"/>
              </w:rPr>
              <w:t>I</w:t>
            </w:r>
            <w:r w:rsidR="00515097">
              <w:rPr>
                <w:lang w:val="en-US"/>
              </w:rPr>
              <w:t xml:space="preserve">ntegrated </w:t>
            </w:r>
            <w:r>
              <w:rPr>
                <w:lang w:val="en-US"/>
              </w:rPr>
              <w:t>C</w:t>
            </w:r>
            <w:r w:rsidR="00515097">
              <w:rPr>
                <w:lang w:val="en-US"/>
              </w:rPr>
              <w:t xml:space="preserve">are </w:t>
            </w:r>
            <w:r>
              <w:rPr>
                <w:lang w:val="en-US"/>
              </w:rPr>
              <w:t>B</w:t>
            </w:r>
            <w:r w:rsidR="00515097">
              <w:rPr>
                <w:lang w:val="en-US"/>
              </w:rPr>
              <w:t>oard (ICB)</w:t>
            </w:r>
            <w:r>
              <w:rPr>
                <w:lang w:val="en-US"/>
              </w:rPr>
              <w:t xml:space="preserve"> </w:t>
            </w:r>
            <w:r w:rsidRPr="00774655">
              <w:rPr>
                <w:lang w:val="en-US"/>
              </w:rPr>
              <w:t>and will include those staff who are employed on a permanent, temporary, voluntary, contract, self-employed, bank or agency basis.</w:t>
            </w:r>
          </w:p>
        </w:tc>
      </w:tr>
      <w:tr w:rsidR="0029297D" w:rsidRPr="00777E05" w14:paraId="09E3EBEF" w14:textId="77777777" w:rsidTr="00E9260C">
        <w:tc>
          <w:tcPr>
            <w:tcW w:w="4395" w:type="dxa"/>
            <w:shd w:val="clear" w:color="auto" w:fill="003087" w:themeFill="accent1"/>
          </w:tcPr>
          <w:p w14:paraId="40CFCABB" w14:textId="77777777" w:rsidR="0029297D" w:rsidRPr="00777E05" w:rsidRDefault="0029297D" w:rsidP="00E9260C">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7EA137BB" w14:textId="3E322B9D" w:rsidR="0029297D" w:rsidRPr="00E075D7" w:rsidRDefault="00553B7A" w:rsidP="00553B7A">
            <w:pPr>
              <w:spacing w:before="0" w:after="0"/>
              <w:ind w:left="0"/>
            </w:pPr>
            <w:r>
              <w:t>N/A</w:t>
            </w:r>
          </w:p>
        </w:tc>
      </w:tr>
      <w:tr w:rsidR="0029297D" w:rsidRPr="00777E05" w14:paraId="1A003BD9" w14:textId="77777777" w:rsidTr="00E9260C">
        <w:tc>
          <w:tcPr>
            <w:tcW w:w="4395" w:type="dxa"/>
            <w:shd w:val="clear" w:color="auto" w:fill="003087" w:themeFill="accent1"/>
          </w:tcPr>
          <w:p w14:paraId="07DEF1FD" w14:textId="77777777" w:rsidR="0029297D" w:rsidRDefault="0029297D" w:rsidP="00E9260C">
            <w:pPr>
              <w:spacing w:before="0" w:after="0"/>
              <w:ind w:left="0"/>
              <w:rPr>
                <w:color w:val="FFFFFF" w:themeColor="background1"/>
              </w:rPr>
            </w:pPr>
            <w:r w:rsidRPr="00777E05">
              <w:rPr>
                <w:color w:val="FFFFFF" w:themeColor="background1"/>
              </w:rPr>
              <w:t xml:space="preserve">Impact Assessments Undertaken </w:t>
            </w:r>
          </w:p>
          <w:p w14:paraId="0EF6394D" w14:textId="77777777" w:rsidR="0029297D" w:rsidRPr="00777E05" w:rsidRDefault="0029297D" w:rsidP="00E9260C">
            <w:pPr>
              <w:spacing w:before="0" w:after="0"/>
              <w:ind w:left="0"/>
              <w:rPr>
                <w:i/>
                <w:iCs/>
                <w:color w:val="FFFFFF" w:themeColor="background1"/>
              </w:rPr>
            </w:pPr>
            <w:r w:rsidRPr="00777E05">
              <w:rPr>
                <w:i/>
                <w:iCs/>
                <w:color w:val="FFFFFF" w:themeColor="background1"/>
              </w:rPr>
              <w:t>(Delete if non-applicable)</w:t>
            </w:r>
          </w:p>
        </w:tc>
        <w:tc>
          <w:tcPr>
            <w:tcW w:w="4677" w:type="dxa"/>
          </w:tcPr>
          <w:p w14:paraId="1700EFE7" w14:textId="77777777" w:rsidR="0029297D" w:rsidRPr="00455F9A" w:rsidRDefault="0029297D" w:rsidP="00E9260C">
            <w:pPr>
              <w:spacing w:before="0" w:after="0"/>
              <w:ind w:left="0"/>
              <w:contextualSpacing/>
              <w:rPr>
                <w:rFonts w:cstheme="minorHAnsi"/>
                <w:b/>
                <w:bCs/>
              </w:rPr>
            </w:pPr>
            <w:r w:rsidRPr="00777E05">
              <w:rPr>
                <w:rFonts w:cs="Times New Roman (Body CS)"/>
              </w:rPr>
              <w:t>Equality and Health Inequalities Impact Assessment</w:t>
            </w:r>
          </w:p>
        </w:tc>
      </w:tr>
    </w:tbl>
    <w:p w14:paraId="1604BFE3" w14:textId="77777777" w:rsidR="0029297D" w:rsidRPr="00DA22B6" w:rsidRDefault="0029297D" w:rsidP="0029297D">
      <w:pPr>
        <w:pStyle w:val="Heading1"/>
      </w:pPr>
      <w:r w:rsidRPr="00332F7C">
        <w:t>Version History</w:t>
      </w:r>
    </w:p>
    <w:tbl>
      <w:tblPr>
        <w:tblStyle w:val="TableGrid"/>
        <w:tblW w:w="0" w:type="auto"/>
        <w:tblLook w:val="04A0" w:firstRow="1" w:lastRow="0" w:firstColumn="1" w:lastColumn="0" w:noHBand="0" w:noVBand="1"/>
      </w:tblPr>
      <w:tblGrid>
        <w:gridCol w:w="988"/>
        <w:gridCol w:w="1134"/>
        <w:gridCol w:w="3029"/>
        <w:gridCol w:w="3865"/>
      </w:tblGrid>
      <w:tr w:rsidR="0029297D" w14:paraId="34409674" w14:textId="77777777" w:rsidTr="00C26FBF">
        <w:trPr>
          <w:trHeight w:val="489"/>
          <w:tblHeader/>
        </w:trPr>
        <w:tc>
          <w:tcPr>
            <w:tcW w:w="988" w:type="dxa"/>
            <w:shd w:val="clear" w:color="auto" w:fill="003087" w:themeFill="accent1"/>
            <w:vAlign w:val="center"/>
          </w:tcPr>
          <w:p w14:paraId="4F4228F4" w14:textId="77777777" w:rsidR="0029297D" w:rsidRPr="00332F7C" w:rsidRDefault="0029297D" w:rsidP="00E9260C">
            <w:pPr>
              <w:pStyle w:val="NoSpacing"/>
              <w:rPr>
                <w:color w:val="FFFFFF" w:themeColor="background1"/>
              </w:rPr>
            </w:pPr>
            <w:r w:rsidRPr="00332F7C">
              <w:rPr>
                <w:color w:val="FFFFFF" w:themeColor="background1"/>
              </w:rPr>
              <w:t>Version</w:t>
            </w:r>
          </w:p>
        </w:tc>
        <w:tc>
          <w:tcPr>
            <w:tcW w:w="1134" w:type="dxa"/>
            <w:shd w:val="clear" w:color="auto" w:fill="003087" w:themeFill="accent1"/>
            <w:vAlign w:val="center"/>
          </w:tcPr>
          <w:p w14:paraId="3829E90A" w14:textId="77777777" w:rsidR="0029297D" w:rsidRPr="00332F7C" w:rsidRDefault="0029297D" w:rsidP="00E9260C">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3ADDFAA7" w14:textId="77777777" w:rsidR="0029297D" w:rsidRPr="00332F7C" w:rsidRDefault="0029297D" w:rsidP="00E9260C">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70E5A039" w14:textId="77777777" w:rsidR="0029297D" w:rsidRPr="00332F7C" w:rsidRDefault="0029297D" w:rsidP="00E9260C">
            <w:pPr>
              <w:pStyle w:val="NoSpacing"/>
              <w:rPr>
                <w:color w:val="FFFFFF" w:themeColor="background1"/>
              </w:rPr>
            </w:pPr>
            <w:r w:rsidRPr="00332F7C">
              <w:rPr>
                <w:color w:val="FFFFFF" w:themeColor="background1"/>
              </w:rPr>
              <w:t>Summary of amendments made</w:t>
            </w:r>
          </w:p>
        </w:tc>
      </w:tr>
      <w:tr w:rsidR="0029297D" w14:paraId="664F9FFE" w14:textId="77777777" w:rsidTr="00E9260C">
        <w:trPr>
          <w:trHeight w:val="424"/>
        </w:trPr>
        <w:tc>
          <w:tcPr>
            <w:tcW w:w="988" w:type="dxa"/>
            <w:vAlign w:val="center"/>
          </w:tcPr>
          <w:p w14:paraId="2CD8C1C6" w14:textId="77777777" w:rsidR="0029297D" w:rsidRDefault="0029297D" w:rsidP="00E9260C">
            <w:pPr>
              <w:pStyle w:val="NoSpacing"/>
            </w:pPr>
            <w:r>
              <w:t>0.1</w:t>
            </w:r>
          </w:p>
        </w:tc>
        <w:tc>
          <w:tcPr>
            <w:tcW w:w="1134" w:type="dxa"/>
            <w:vAlign w:val="center"/>
          </w:tcPr>
          <w:p w14:paraId="128E9669" w14:textId="77777777" w:rsidR="0029297D" w:rsidRDefault="0029297D" w:rsidP="00E9260C">
            <w:pPr>
              <w:pStyle w:val="NoSpacing"/>
            </w:pPr>
            <w:r>
              <w:t>24/01/22</w:t>
            </w:r>
          </w:p>
        </w:tc>
        <w:tc>
          <w:tcPr>
            <w:tcW w:w="3029" w:type="dxa"/>
            <w:vAlign w:val="center"/>
          </w:tcPr>
          <w:p w14:paraId="032CE695" w14:textId="458A48E6" w:rsidR="0029297D" w:rsidRDefault="00553B7A" w:rsidP="00E9260C">
            <w:pPr>
              <w:pStyle w:val="NoSpacing"/>
            </w:pPr>
            <w:r>
              <w:t>Safeguarding Lead</w:t>
            </w:r>
          </w:p>
        </w:tc>
        <w:tc>
          <w:tcPr>
            <w:tcW w:w="3865" w:type="dxa"/>
            <w:vAlign w:val="center"/>
          </w:tcPr>
          <w:p w14:paraId="6C968A96" w14:textId="77777777" w:rsidR="0029297D" w:rsidRDefault="0029297D" w:rsidP="00E9260C">
            <w:pPr>
              <w:pStyle w:val="NoSpacing"/>
            </w:pPr>
            <w:r>
              <w:t>First draft of policy</w:t>
            </w:r>
          </w:p>
        </w:tc>
      </w:tr>
      <w:tr w:rsidR="0029297D" w14:paraId="239483F6" w14:textId="77777777" w:rsidTr="00E9260C">
        <w:trPr>
          <w:trHeight w:val="402"/>
        </w:trPr>
        <w:tc>
          <w:tcPr>
            <w:tcW w:w="988" w:type="dxa"/>
            <w:vAlign w:val="center"/>
          </w:tcPr>
          <w:p w14:paraId="17B9BBA7" w14:textId="72ACC46D" w:rsidR="0029297D" w:rsidRDefault="00553B7A" w:rsidP="00E9260C">
            <w:pPr>
              <w:pStyle w:val="NoSpacing"/>
            </w:pPr>
            <w:r>
              <w:t>0.2</w:t>
            </w:r>
          </w:p>
        </w:tc>
        <w:tc>
          <w:tcPr>
            <w:tcW w:w="1134" w:type="dxa"/>
            <w:vAlign w:val="center"/>
          </w:tcPr>
          <w:p w14:paraId="4B60AA1E" w14:textId="49E69688" w:rsidR="0029297D" w:rsidRDefault="00553B7A" w:rsidP="00E9260C">
            <w:pPr>
              <w:pStyle w:val="NoSpacing"/>
            </w:pPr>
            <w:r>
              <w:t>06/02/22</w:t>
            </w:r>
          </w:p>
        </w:tc>
        <w:tc>
          <w:tcPr>
            <w:tcW w:w="3029" w:type="dxa"/>
            <w:vAlign w:val="center"/>
          </w:tcPr>
          <w:p w14:paraId="566B206E" w14:textId="46F2B2E7" w:rsidR="0029297D" w:rsidRDefault="00553B7A" w:rsidP="00E9260C">
            <w:pPr>
              <w:pStyle w:val="NoSpacing"/>
            </w:pPr>
            <w:r>
              <w:t>Governance Lead</w:t>
            </w:r>
          </w:p>
        </w:tc>
        <w:tc>
          <w:tcPr>
            <w:tcW w:w="3865" w:type="dxa"/>
            <w:vAlign w:val="center"/>
          </w:tcPr>
          <w:p w14:paraId="66C80C80" w14:textId="0EE0F24B" w:rsidR="0029297D" w:rsidRDefault="00553B7A" w:rsidP="00E9260C">
            <w:pPr>
              <w:pStyle w:val="NoSpacing"/>
            </w:pPr>
            <w:r>
              <w:t>Final amends prior to adoption</w:t>
            </w:r>
          </w:p>
        </w:tc>
      </w:tr>
      <w:tr w:rsidR="0029297D" w14:paraId="6A210810" w14:textId="77777777" w:rsidTr="00E9260C">
        <w:trPr>
          <w:trHeight w:val="423"/>
        </w:trPr>
        <w:tc>
          <w:tcPr>
            <w:tcW w:w="988" w:type="dxa"/>
            <w:vAlign w:val="center"/>
          </w:tcPr>
          <w:p w14:paraId="139738B4" w14:textId="14C7392D" w:rsidR="0029297D" w:rsidRDefault="004259F3" w:rsidP="00E9260C">
            <w:pPr>
              <w:pStyle w:val="NoSpacing"/>
            </w:pPr>
            <w:r>
              <w:t>0.3</w:t>
            </w:r>
          </w:p>
        </w:tc>
        <w:tc>
          <w:tcPr>
            <w:tcW w:w="1134" w:type="dxa"/>
            <w:vAlign w:val="center"/>
          </w:tcPr>
          <w:p w14:paraId="2B671E0B" w14:textId="07B5E6A6" w:rsidR="0029297D" w:rsidRDefault="004259F3" w:rsidP="00E9260C">
            <w:pPr>
              <w:pStyle w:val="NoSpacing"/>
            </w:pPr>
            <w:r>
              <w:t>21/06/22</w:t>
            </w:r>
          </w:p>
        </w:tc>
        <w:tc>
          <w:tcPr>
            <w:tcW w:w="3029" w:type="dxa"/>
            <w:vAlign w:val="center"/>
          </w:tcPr>
          <w:p w14:paraId="2DF85EDE" w14:textId="07C4FF83" w:rsidR="0029297D" w:rsidRDefault="004259F3" w:rsidP="00E9260C">
            <w:pPr>
              <w:pStyle w:val="NoSpacing"/>
            </w:pPr>
            <w:r>
              <w:t>Sara O’Connor</w:t>
            </w:r>
          </w:p>
        </w:tc>
        <w:tc>
          <w:tcPr>
            <w:tcW w:w="3865" w:type="dxa"/>
            <w:vAlign w:val="center"/>
          </w:tcPr>
          <w:p w14:paraId="2C5C4071" w14:textId="24DFCC0E" w:rsidR="0029297D" w:rsidRDefault="004259F3" w:rsidP="00E9260C">
            <w:pPr>
              <w:pStyle w:val="NoSpacing"/>
            </w:pPr>
            <w:r>
              <w:t>Policy Ref No added</w:t>
            </w:r>
          </w:p>
        </w:tc>
      </w:tr>
      <w:tr w:rsidR="0029297D" w14:paraId="330BC01D" w14:textId="77777777" w:rsidTr="00E9260C">
        <w:trPr>
          <w:trHeight w:val="423"/>
        </w:trPr>
        <w:tc>
          <w:tcPr>
            <w:tcW w:w="988" w:type="dxa"/>
            <w:vAlign w:val="center"/>
          </w:tcPr>
          <w:p w14:paraId="103F45ED" w14:textId="4F24A3BF" w:rsidR="0029297D" w:rsidRDefault="00941CDE" w:rsidP="00E9260C">
            <w:pPr>
              <w:pStyle w:val="NoSpacing"/>
            </w:pPr>
            <w:r>
              <w:t>1.0</w:t>
            </w:r>
          </w:p>
        </w:tc>
        <w:tc>
          <w:tcPr>
            <w:tcW w:w="1134" w:type="dxa"/>
            <w:vAlign w:val="center"/>
          </w:tcPr>
          <w:p w14:paraId="666A4F17" w14:textId="003E0EF1" w:rsidR="0029297D" w:rsidRDefault="00941CDE" w:rsidP="00E9260C">
            <w:pPr>
              <w:pStyle w:val="NoSpacing"/>
            </w:pPr>
            <w:r>
              <w:t>08/07/22</w:t>
            </w:r>
          </w:p>
        </w:tc>
        <w:tc>
          <w:tcPr>
            <w:tcW w:w="3029" w:type="dxa"/>
            <w:vAlign w:val="center"/>
          </w:tcPr>
          <w:p w14:paraId="176915D3" w14:textId="6BD7A44B" w:rsidR="0029297D" w:rsidRDefault="00941CDE" w:rsidP="00E9260C">
            <w:pPr>
              <w:pStyle w:val="NoSpacing"/>
            </w:pPr>
            <w:r>
              <w:t>Charlotte Tannett</w:t>
            </w:r>
          </w:p>
        </w:tc>
        <w:tc>
          <w:tcPr>
            <w:tcW w:w="3865" w:type="dxa"/>
            <w:vAlign w:val="center"/>
          </w:tcPr>
          <w:p w14:paraId="35770BC8" w14:textId="68C67018" w:rsidR="0029297D" w:rsidRDefault="00941CDE" w:rsidP="00E9260C">
            <w:pPr>
              <w:pStyle w:val="NoSpacing"/>
            </w:pPr>
            <w:r>
              <w:t>Final review of version 1.0.</w:t>
            </w:r>
          </w:p>
        </w:tc>
      </w:tr>
      <w:tr w:rsidR="0029297D" w14:paraId="53CB8949" w14:textId="77777777" w:rsidTr="00E9260C">
        <w:trPr>
          <w:trHeight w:val="423"/>
        </w:trPr>
        <w:tc>
          <w:tcPr>
            <w:tcW w:w="988" w:type="dxa"/>
            <w:vAlign w:val="center"/>
          </w:tcPr>
          <w:p w14:paraId="64D5E4CF" w14:textId="77777777" w:rsidR="0029297D" w:rsidRDefault="0029297D" w:rsidP="00E9260C">
            <w:pPr>
              <w:pStyle w:val="NoSpacing"/>
            </w:pPr>
          </w:p>
        </w:tc>
        <w:tc>
          <w:tcPr>
            <w:tcW w:w="1134" w:type="dxa"/>
            <w:vAlign w:val="center"/>
          </w:tcPr>
          <w:p w14:paraId="7CB7D5F4" w14:textId="77777777" w:rsidR="0029297D" w:rsidRDefault="0029297D" w:rsidP="00E9260C">
            <w:pPr>
              <w:pStyle w:val="NoSpacing"/>
            </w:pPr>
          </w:p>
        </w:tc>
        <w:tc>
          <w:tcPr>
            <w:tcW w:w="3029" w:type="dxa"/>
            <w:vAlign w:val="center"/>
          </w:tcPr>
          <w:p w14:paraId="3397DC0A" w14:textId="77777777" w:rsidR="0029297D" w:rsidRDefault="0029297D" w:rsidP="00E9260C">
            <w:pPr>
              <w:pStyle w:val="NoSpacing"/>
            </w:pPr>
          </w:p>
        </w:tc>
        <w:tc>
          <w:tcPr>
            <w:tcW w:w="3865" w:type="dxa"/>
            <w:vAlign w:val="center"/>
          </w:tcPr>
          <w:p w14:paraId="63E142C6" w14:textId="77777777" w:rsidR="0029297D" w:rsidRDefault="0029297D" w:rsidP="00E9260C">
            <w:pPr>
              <w:pStyle w:val="NoSpacing"/>
            </w:pPr>
          </w:p>
        </w:tc>
      </w:tr>
      <w:tr w:rsidR="0029297D" w14:paraId="2A371B81" w14:textId="77777777" w:rsidTr="00E9260C">
        <w:trPr>
          <w:trHeight w:val="423"/>
        </w:trPr>
        <w:tc>
          <w:tcPr>
            <w:tcW w:w="988" w:type="dxa"/>
            <w:vAlign w:val="center"/>
          </w:tcPr>
          <w:p w14:paraId="425E89D0" w14:textId="77777777" w:rsidR="0029297D" w:rsidRDefault="0029297D" w:rsidP="00E9260C">
            <w:pPr>
              <w:pStyle w:val="NoSpacing"/>
            </w:pPr>
          </w:p>
        </w:tc>
        <w:tc>
          <w:tcPr>
            <w:tcW w:w="1134" w:type="dxa"/>
            <w:vAlign w:val="center"/>
          </w:tcPr>
          <w:p w14:paraId="3FD9D7AA" w14:textId="77777777" w:rsidR="0029297D" w:rsidRDefault="0029297D" w:rsidP="00E9260C">
            <w:pPr>
              <w:pStyle w:val="NoSpacing"/>
            </w:pPr>
          </w:p>
        </w:tc>
        <w:tc>
          <w:tcPr>
            <w:tcW w:w="3029" w:type="dxa"/>
            <w:vAlign w:val="center"/>
          </w:tcPr>
          <w:p w14:paraId="23336C34" w14:textId="77777777" w:rsidR="0029297D" w:rsidRDefault="0029297D" w:rsidP="00E9260C">
            <w:pPr>
              <w:pStyle w:val="NoSpacing"/>
            </w:pPr>
          </w:p>
        </w:tc>
        <w:tc>
          <w:tcPr>
            <w:tcW w:w="3865" w:type="dxa"/>
            <w:vAlign w:val="center"/>
          </w:tcPr>
          <w:p w14:paraId="06CAB965" w14:textId="77777777" w:rsidR="0029297D" w:rsidRDefault="0029297D" w:rsidP="00E9260C">
            <w:pPr>
              <w:pStyle w:val="NoSpacing"/>
            </w:pPr>
          </w:p>
        </w:tc>
      </w:tr>
      <w:tr w:rsidR="0029297D" w14:paraId="07D3D96C" w14:textId="77777777" w:rsidTr="00E9260C">
        <w:trPr>
          <w:trHeight w:val="423"/>
        </w:trPr>
        <w:tc>
          <w:tcPr>
            <w:tcW w:w="988" w:type="dxa"/>
            <w:vAlign w:val="center"/>
          </w:tcPr>
          <w:p w14:paraId="1F26E61A" w14:textId="77777777" w:rsidR="0029297D" w:rsidRDefault="0029297D" w:rsidP="00E9260C">
            <w:pPr>
              <w:pStyle w:val="NoSpacing"/>
            </w:pPr>
          </w:p>
        </w:tc>
        <w:tc>
          <w:tcPr>
            <w:tcW w:w="1134" w:type="dxa"/>
            <w:vAlign w:val="center"/>
          </w:tcPr>
          <w:p w14:paraId="32563CCD" w14:textId="77777777" w:rsidR="0029297D" w:rsidRDefault="0029297D" w:rsidP="00E9260C">
            <w:pPr>
              <w:pStyle w:val="NoSpacing"/>
            </w:pPr>
          </w:p>
        </w:tc>
        <w:tc>
          <w:tcPr>
            <w:tcW w:w="3029" w:type="dxa"/>
            <w:vAlign w:val="center"/>
          </w:tcPr>
          <w:p w14:paraId="316757A5" w14:textId="77777777" w:rsidR="0029297D" w:rsidRDefault="0029297D" w:rsidP="00E9260C">
            <w:pPr>
              <w:pStyle w:val="NoSpacing"/>
            </w:pPr>
          </w:p>
        </w:tc>
        <w:tc>
          <w:tcPr>
            <w:tcW w:w="3865" w:type="dxa"/>
            <w:vAlign w:val="center"/>
          </w:tcPr>
          <w:p w14:paraId="649A203E" w14:textId="77777777" w:rsidR="0029297D" w:rsidRDefault="0029297D" w:rsidP="00E9260C">
            <w:pPr>
              <w:pStyle w:val="NoSpacing"/>
            </w:pPr>
          </w:p>
        </w:tc>
      </w:tr>
    </w:tbl>
    <w:p w14:paraId="5A442DE5" w14:textId="77777777" w:rsidR="0029297D" w:rsidRPr="0029297D" w:rsidRDefault="0029297D" w:rsidP="0029297D"/>
    <w:p w14:paraId="7B175A50" w14:textId="77777777" w:rsidR="00FD2B5D" w:rsidRDefault="00FD2B5D" w:rsidP="00C2062B">
      <w:pPr>
        <w:spacing w:before="0" w:after="0"/>
        <w:ind w:left="0"/>
      </w:pPr>
      <w:r>
        <w:br w:type="page"/>
      </w:r>
    </w:p>
    <w:p w14:paraId="4E75AD1B" w14:textId="77777777" w:rsidR="00FD2B5D" w:rsidRPr="00DA22B6" w:rsidRDefault="000F560D" w:rsidP="00C2062B">
      <w:pPr>
        <w:pStyle w:val="Heading1"/>
      </w:pPr>
      <w:r>
        <w:t>Contents</w:t>
      </w:r>
    </w:p>
    <w:p w14:paraId="20C8354F" w14:textId="6DD4A75E" w:rsidR="00C26FBF" w:rsidRDefault="000665B0">
      <w:pPr>
        <w:pStyle w:val="TOC1"/>
        <w:rPr>
          <w:rFonts w:eastAsiaTheme="minorEastAsia"/>
          <w:b w:val="0"/>
          <w:noProof/>
          <w:color w:val="auto"/>
          <w:sz w:val="22"/>
          <w:szCs w:val="22"/>
          <w:lang w:eastAsia="en-GB"/>
        </w:rPr>
      </w:pPr>
      <w:r>
        <w:rPr>
          <w:rFonts w:ascii="AppleSystemUIFont" w:hAnsi="AppleSystemUIFont" w:cs="AppleSystemUIFont"/>
          <w:sz w:val="26"/>
          <w:szCs w:val="26"/>
        </w:rPr>
        <w:fldChar w:fldCharType="begin"/>
      </w:r>
      <w:r>
        <w:rPr>
          <w:rFonts w:ascii="AppleSystemUIFont" w:hAnsi="AppleSystemUIFont" w:cs="AppleSystemUIFont"/>
          <w:sz w:val="26"/>
          <w:szCs w:val="26"/>
        </w:rPr>
        <w:instrText xml:space="preserve"> TOC \h \z \t "Heading 2,1,Heading 3,2" </w:instrText>
      </w:r>
      <w:r>
        <w:rPr>
          <w:rFonts w:ascii="AppleSystemUIFont" w:hAnsi="AppleSystemUIFont" w:cs="AppleSystemUIFont"/>
          <w:sz w:val="26"/>
          <w:szCs w:val="26"/>
        </w:rPr>
        <w:fldChar w:fldCharType="separate"/>
      </w:r>
      <w:hyperlink w:anchor="_Toc110852476" w:history="1">
        <w:r w:rsidR="00C26FBF" w:rsidRPr="00612291">
          <w:rPr>
            <w:rStyle w:val="Hyperlink"/>
            <w:noProof/>
          </w:rPr>
          <w:t>1.</w:t>
        </w:r>
        <w:r w:rsidR="00C26FBF">
          <w:rPr>
            <w:rFonts w:eastAsiaTheme="minorEastAsia"/>
            <w:b w:val="0"/>
            <w:noProof/>
            <w:color w:val="auto"/>
            <w:sz w:val="22"/>
            <w:szCs w:val="22"/>
            <w:lang w:eastAsia="en-GB"/>
          </w:rPr>
          <w:tab/>
        </w:r>
        <w:r w:rsidR="00C26FBF" w:rsidRPr="00612291">
          <w:rPr>
            <w:rStyle w:val="Hyperlink"/>
            <w:noProof/>
          </w:rPr>
          <w:t>Introduction</w:t>
        </w:r>
        <w:r w:rsidR="00C26FBF">
          <w:rPr>
            <w:noProof/>
            <w:webHidden/>
          </w:rPr>
          <w:tab/>
        </w:r>
        <w:r w:rsidR="00C26FBF">
          <w:rPr>
            <w:noProof/>
            <w:webHidden/>
          </w:rPr>
          <w:fldChar w:fldCharType="begin"/>
        </w:r>
        <w:r w:rsidR="00C26FBF">
          <w:rPr>
            <w:noProof/>
            <w:webHidden/>
          </w:rPr>
          <w:instrText xml:space="preserve"> PAGEREF _Toc110852476 \h </w:instrText>
        </w:r>
        <w:r w:rsidR="00C26FBF">
          <w:rPr>
            <w:noProof/>
            <w:webHidden/>
          </w:rPr>
        </w:r>
        <w:r w:rsidR="00C26FBF">
          <w:rPr>
            <w:noProof/>
            <w:webHidden/>
          </w:rPr>
          <w:fldChar w:fldCharType="separate"/>
        </w:r>
        <w:r w:rsidR="00C26FBF">
          <w:rPr>
            <w:noProof/>
            <w:webHidden/>
          </w:rPr>
          <w:t>3</w:t>
        </w:r>
        <w:r w:rsidR="00C26FBF">
          <w:rPr>
            <w:noProof/>
            <w:webHidden/>
          </w:rPr>
          <w:fldChar w:fldCharType="end"/>
        </w:r>
      </w:hyperlink>
    </w:p>
    <w:p w14:paraId="3BB1E361" w14:textId="09EE1BD4" w:rsidR="00C26FBF" w:rsidRDefault="00C26FBF">
      <w:pPr>
        <w:pStyle w:val="TOC1"/>
        <w:rPr>
          <w:rFonts w:eastAsiaTheme="minorEastAsia"/>
          <w:b w:val="0"/>
          <w:noProof/>
          <w:color w:val="auto"/>
          <w:sz w:val="22"/>
          <w:szCs w:val="22"/>
          <w:lang w:eastAsia="en-GB"/>
        </w:rPr>
      </w:pPr>
      <w:hyperlink w:anchor="_Toc110852477" w:history="1">
        <w:r w:rsidRPr="00612291">
          <w:rPr>
            <w:rStyle w:val="Hyperlink"/>
            <w:noProof/>
          </w:rPr>
          <w:t>2.</w:t>
        </w:r>
        <w:r>
          <w:rPr>
            <w:rFonts w:eastAsiaTheme="minorEastAsia"/>
            <w:b w:val="0"/>
            <w:noProof/>
            <w:color w:val="auto"/>
            <w:sz w:val="22"/>
            <w:szCs w:val="22"/>
            <w:lang w:eastAsia="en-GB"/>
          </w:rPr>
          <w:tab/>
        </w:r>
        <w:r w:rsidRPr="00612291">
          <w:rPr>
            <w:rStyle w:val="Hyperlink"/>
            <w:noProof/>
          </w:rPr>
          <w:t>Purpose</w:t>
        </w:r>
        <w:r>
          <w:rPr>
            <w:noProof/>
            <w:webHidden/>
          </w:rPr>
          <w:tab/>
        </w:r>
        <w:r>
          <w:rPr>
            <w:noProof/>
            <w:webHidden/>
          </w:rPr>
          <w:fldChar w:fldCharType="begin"/>
        </w:r>
        <w:r>
          <w:rPr>
            <w:noProof/>
            <w:webHidden/>
          </w:rPr>
          <w:instrText xml:space="preserve"> PAGEREF _Toc110852477 \h </w:instrText>
        </w:r>
        <w:r>
          <w:rPr>
            <w:noProof/>
            <w:webHidden/>
          </w:rPr>
        </w:r>
        <w:r>
          <w:rPr>
            <w:noProof/>
            <w:webHidden/>
          </w:rPr>
          <w:fldChar w:fldCharType="separate"/>
        </w:r>
        <w:r>
          <w:rPr>
            <w:noProof/>
            <w:webHidden/>
          </w:rPr>
          <w:t>4</w:t>
        </w:r>
        <w:r>
          <w:rPr>
            <w:noProof/>
            <w:webHidden/>
          </w:rPr>
          <w:fldChar w:fldCharType="end"/>
        </w:r>
      </w:hyperlink>
    </w:p>
    <w:p w14:paraId="326CC540" w14:textId="07E74964" w:rsidR="00C26FBF" w:rsidRDefault="00C26FBF">
      <w:pPr>
        <w:pStyle w:val="TOC2"/>
        <w:tabs>
          <w:tab w:val="right" w:leader="underscore" w:pos="9016"/>
        </w:tabs>
        <w:rPr>
          <w:rFonts w:eastAsiaTheme="minorEastAsia"/>
          <w:noProof/>
          <w:color w:val="auto"/>
          <w:sz w:val="22"/>
          <w:szCs w:val="22"/>
          <w:lang w:eastAsia="en-GB"/>
        </w:rPr>
      </w:pPr>
      <w:hyperlink w:anchor="_Toc110852478" w:history="1">
        <w:r w:rsidRPr="00612291">
          <w:rPr>
            <w:rStyle w:val="Hyperlink"/>
            <w:bCs/>
            <w:noProof/>
            <w14:scene3d>
              <w14:camera w14:prst="orthographicFront"/>
              <w14:lightRig w14:rig="threePt" w14:dir="t">
                <w14:rot w14:lat="0" w14:lon="0" w14:rev="0"/>
              </w14:lightRig>
            </w14:scene3d>
          </w:rPr>
          <w:t>2.1.</w:t>
        </w:r>
        <w:r>
          <w:rPr>
            <w:rFonts w:eastAsiaTheme="minorEastAsia"/>
            <w:noProof/>
            <w:color w:val="auto"/>
            <w:sz w:val="22"/>
            <w:szCs w:val="22"/>
            <w:lang w:eastAsia="en-GB"/>
          </w:rPr>
          <w:tab/>
        </w:r>
        <w:r w:rsidRPr="00612291">
          <w:rPr>
            <w:rStyle w:val="Hyperlink"/>
            <w:noProof/>
          </w:rPr>
          <w:t>Aims</w:t>
        </w:r>
        <w:r>
          <w:rPr>
            <w:noProof/>
            <w:webHidden/>
          </w:rPr>
          <w:tab/>
        </w:r>
        <w:r>
          <w:rPr>
            <w:noProof/>
            <w:webHidden/>
          </w:rPr>
          <w:fldChar w:fldCharType="begin"/>
        </w:r>
        <w:r>
          <w:rPr>
            <w:noProof/>
            <w:webHidden/>
          </w:rPr>
          <w:instrText xml:space="preserve"> PAGEREF _Toc110852478 \h </w:instrText>
        </w:r>
        <w:r>
          <w:rPr>
            <w:noProof/>
            <w:webHidden/>
          </w:rPr>
        </w:r>
        <w:r>
          <w:rPr>
            <w:noProof/>
            <w:webHidden/>
          </w:rPr>
          <w:fldChar w:fldCharType="separate"/>
        </w:r>
        <w:r>
          <w:rPr>
            <w:noProof/>
            <w:webHidden/>
          </w:rPr>
          <w:t>4</w:t>
        </w:r>
        <w:r>
          <w:rPr>
            <w:noProof/>
            <w:webHidden/>
          </w:rPr>
          <w:fldChar w:fldCharType="end"/>
        </w:r>
      </w:hyperlink>
    </w:p>
    <w:p w14:paraId="11D7E6E5" w14:textId="41B0549C" w:rsidR="00C26FBF" w:rsidRDefault="00C26FBF">
      <w:pPr>
        <w:pStyle w:val="TOC2"/>
        <w:tabs>
          <w:tab w:val="right" w:leader="underscore" w:pos="9016"/>
        </w:tabs>
        <w:rPr>
          <w:rFonts w:eastAsiaTheme="minorEastAsia"/>
          <w:noProof/>
          <w:color w:val="auto"/>
          <w:sz w:val="22"/>
          <w:szCs w:val="22"/>
          <w:lang w:eastAsia="en-GB"/>
        </w:rPr>
      </w:pPr>
      <w:hyperlink w:anchor="_Toc110852479" w:history="1">
        <w:r w:rsidRPr="00612291">
          <w:rPr>
            <w:rStyle w:val="Hyperlink"/>
            <w:bCs/>
            <w:noProof/>
            <w14:scene3d>
              <w14:camera w14:prst="orthographicFront"/>
              <w14:lightRig w14:rig="threePt" w14:dir="t">
                <w14:rot w14:lat="0" w14:lon="0" w14:rev="0"/>
              </w14:lightRig>
            </w14:scene3d>
          </w:rPr>
          <w:t>2.2.</w:t>
        </w:r>
        <w:r>
          <w:rPr>
            <w:rFonts w:eastAsiaTheme="minorEastAsia"/>
            <w:noProof/>
            <w:color w:val="auto"/>
            <w:sz w:val="22"/>
            <w:szCs w:val="22"/>
            <w:lang w:eastAsia="en-GB"/>
          </w:rPr>
          <w:tab/>
        </w:r>
        <w:r w:rsidRPr="00612291">
          <w:rPr>
            <w:rStyle w:val="Hyperlink"/>
            <w:noProof/>
          </w:rPr>
          <w:t>Purpose</w:t>
        </w:r>
        <w:r>
          <w:rPr>
            <w:noProof/>
            <w:webHidden/>
          </w:rPr>
          <w:tab/>
        </w:r>
        <w:r>
          <w:rPr>
            <w:noProof/>
            <w:webHidden/>
          </w:rPr>
          <w:fldChar w:fldCharType="begin"/>
        </w:r>
        <w:r>
          <w:rPr>
            <w:noProof/>
            <w:webHidden/>
          </w:rPr>
          <w:instrText xml:space="preserve"> PAGEREF _Toc110852479 \h </w:instrText>
        </w:r>
        <w:r>
          <w:rPr>
            <w:noProof/>
            <w:webHidden/>
          </w:rPr>
        </w:r>
        <w:r>
          <w:rPr>
            <w:noProof/>
            <w:webHidden/>
          </w:rPr>
          <w:fldChar w:fldCharType="separate"/>
        </w:r>
        <w:r>
          <w:rPr>
            <w:noProof/>
            <w:webHidden/>
          </w:rPr>
          <w:t>4</w:t>
        </w:r>
        <w:r>
          <w:rPr>
            <w:noProof/>
            <w:webHidden/>
          </w:rPr>
          <w:fldChar w:fldCharType="end"/>
        </w:r>
      </w:hyperlink>
    </w:p>
    <w:p w14:paraId="22C18CFA" w14:textId="1BCFC13F" w:rsidR="00C26FBF" w:rsidRDefault="00C26FBF">
      <w:pPr>
        <w:pStyle w:val="TOC1"/>
        <w:rPr>
          <w:rFonts w:eastAsiaTheme="minorEastAsia"/>
          <w:b w:val="0"/>
          <w:noProof/>
          <w:color w:val="auto"/>
          <w:sz w:val="22"/>
          <w:szCs w:val="22"/>
          <w:lang w:eastAsia="en-GB"/>
        </w:rPr>
      </w:pPr>
      <w:hyperlink w:anchor="_Toc110852480" w:history="1">
        <w:r w:rsidRPr="00612291">
          <w:rPr>
            <w:rStyle w:val="Hyperlink"/>
            <w:noProof/>
          </w:rPr>
          <w:t>3.</w:t>
        </w:r>
        <w:r>
          <w:rPr>
            <w:rFonts w:eastAsiaTheme="minorEastAsia"/>
            <w:b w:val="0"/>
            <w:noProof/>
            <w:color w:val="auto"/>
            <w:sz w:val="22"/>
            <w:szCs w:val="22"/>
            <w:lang w:eastAsia="en-GB"/>
          </w:rPr>
          <w:tab/>
        </w:r>
        <w:r w:rsidRPr="00612291">
          <w:rPr>
            <w:rStyle w:val="Hyperlink"/>
            <w:noProof/>
          </w:rPr>
          <w:t>Scope</w:t>
        </w:r>
        <w:r>
          <w:rPr>
            <w:noProof/>
            <w:webHidden/>
          </w:rPr>
          <w:tab/>
        </w:r>
        <w:r>
          <w:rPr>
            <w:noProof/>
            <w:webHidden/>
          </w:rPr>
          <w:fldChar w:fldCharType="begin"/>
        </w:r>
        <w:r>
          <w:rPr>
            <w:noProof/>
            <w:webHidden/>
          </w:rPr>
          <w:instrText xml:space="preserve"> PAGEREF _Toc110852480 \h </w:instrText>
        </w:r>
        <w:r>
          <w:rPr>
            <w:noProof/>
            <w:webHidden/>
          </w:rPr>
        </w:r>
        <w:r>
          <w:rPr>
            <w:noProof/>
            <w:webHidden/>
          </w:rPr>
          <w:fldChar w:fldCharType="separate"/>
        </w:r>
        <w:r>
          <w:rPr>
            <w:noProof/>
            <w:webHidden/>
          </w:rPr>
          <w:t>4</w:t>
        </w:r>
        <w:r>
          <w:rPr>
            <w:noProof/>
            <w:webHidden/>
          </w:rPr>
          <w:fldChar w:fldCharType="end"/>
        </w:r>
      </w:hyperlink>
    </w:p>
    <w:p w14:paraId="764A059E" w14:textId="13B58ED0" w:rsidR="00C26FBF" w:rsidRDefault="00C26FBF">
      <w:pPr>
        <w:pStyle w:val="TOC1"/>
        <w:rPr>
          <w:rFonts w:eastAsiaTheme="minorEastAsia"/>
          <w:b w:val="0"/>
          <w:noProof/>
          <w:color w:val="auto"/>
          <w:sz w:val="22"/>
          <w:szCs w:val="22"/>
          <w:lang w:eastAsia="en-GB"/>
        </w:rPr>
      </w:pPr>
      <w:hyperlink w:anchor="_Toc110852481" w:history="1">
        <w:r w:rsidRPr="00612291">
          <w:rPr>
            <w:rStyle w:val="Hyperlink"/>
            <w:noProof/>
          </w:rPr>
          <w:t>4.</w:t>
        </w:r>
        <w:r>
          <w:rPr>
            <w:rFonts w:eastAsiaTheme="minorEastAsia"/>
            <w:b w:val="0"/>
            <w:noProof/>
            <w:color w:val="auto"/>
            <w:sz w:val="22"/>
            <w:szCs w:val="22"/>
            <w:lang w:eastAsia="en-GB"/>
          </w:rPr>
          <w:tab/>
        </w:r>
        <w:r w:rsidRPr="00612291">
          <w:rPr>
            <w:rStyle w:val="Hyperlink"/>
            <w:noProof/>
          </w:rPr>
          <w:t>Definitions</w:t>
        </w:r>
        <w:r>
          <w:rPr>
            <w:noProof/>
            <w:webHidden/>
          </w:rPr>
          <w:tab/>
        </w:r>
        <w:r>
          <w:rPr>
            <w:noProof/>
            <w:webHidden/>
          </w:rPr>
          <w:fldChar w:fldCharType="begin"/>
        </w:r>
        <w:r>
          <w:rPr>
            <w:noProof/>
            <w:webHidden/>
          </w:rPr>
          <w:instrText xml:space="preserve"> PAGEREF _Toc110852481 \h </w:instrText>
        </w:r>
        <w:r>
          <w:rPr>
            <w:noProof/>
            <w:webHidden/>
          </w:rPr>
        </w:r>
        <w:r>
          <w:rPr>
            <w:noProof/>
            <w:webHidden/>
          </w:rPr>
          <w:fldChar w:fldCharType="separate"/>
        </w:r>
        <w:r>
          <w:rPr>
            <w:noProof/>
            <w:webHidden/>
          </w:rPr>
          <w:t>5</w:t>
        </w:r>
        <w:r>
          <w:rPr>
            <w:noProof/>
            <w:webHidden/>
          </w:rPr>
          <w:fldChar w:fldCharType="end"/>
        </w:r>
      </w:hyperlink>
    </w:p>
    <w:p w14:paraId="10C68473" w14:textId="7D9453CE" w:rsidR="00C26FBF" w:rsidRDefault="00C26FBF">
      <w:pPr>
        <w:pStyle w:val="TOC1"/>
        <w:rPr>
          <w:rFonts w:eastAsiaTheme="minorEastAsia"/>
          <w:b w:val="0"/>
          <w:noProof/>
          <w:color w:val="auto"/>
          <w:sz w:val="22"/>
          <w:szCs w:val="22"/>
          <w:lang w:eastAsia="en-GB"/>
        </w:rPr>
      </w:pPr>
      <w:hyperlink w:anchor="_Toc110852482" w:history="1">
        <w:r w:rsidRPr="00612291">
          <w:rPr>
            <w:rStyle w:val="Hyperlink"/>
            <w:noProof/>
          </w:rPr>
          <w:t>5.</w:t>
        </w:r>
        <w:r>
          <w:rPr>
            <w:rFonts w:eastAsiaTheme="minorEastAsia"/>
            <w:b w:val="0"/>
            <w:noProof/>
            <w:color w:val="auto"/>
            <w:sz w:val="22"/>
            <w:szCs w:val="22"/>
            <w:lang w:eastAsia="en-GB"/>
          </w:rPr>
          <w:tab/>
        </w:r>
        <w:r w:rsidRPr="00612291">
          <w:rPr>
            <w:rStyle w:val="Hyperlink"/>
            <w:noProof/>
          </w:rPr>
          <w:t>Roles and Responsibilities</w:t>
        </w:r>
        <w:r>
          <w:rPr>
            <w:noProof/>
            <w:webHidden/>
          </w:rPr>
          <w:tab/>
        </w:r>
        <w:r>
          <w:rPr>
            <w:noProof/>
            <w:webHidden/>
          </w:rPr>
          <w:fldChar w:fldCharType="begin"/>
        </w:r>
        <w:r>
          <w:rPr>
            <w:noProof/>
            <w:webHidden/>
          </w:rPr>
          <w:instrText xml:space="preserve"> PAGEREF _Toc110852482 \h </w:instrText>
        </w:r>
        <w:r>
          <w:rPr>
            <w:noProof/>
            <w:webHidden/>
          </w:rPr>
        </w:r>
        <w:r>
          <w:rPr>
            <w:noProof/>
            <w:webHidden/>
          </w:rPr>
          <w:fldChar w:fldCharType="separate"/>
        </w:r>
        <w:r>
          <w:rPr>
            <w:noProof/>
            <w:webHidden/>
          </w:rPr>
          <w:t>6</w:t>
        </w:r>
        <w:r>
          <w:rPr>
            <w:noProof/>
            <w:webHidden/>
          </w:rPr>
          <w:fldChar w:fldCharType="end"/>
        </w:r>
      </w:hyperlink>
    </w:p>
    <w:p w14:paraId="2AD3E19B" w14:textId="3F2B703F" w:rsidR="00C26FBF" w:rsidRDefault="00C26FBF">
      <w:pPr>
        <w:pStyle w:val="TOC2"/>
        <w:tabs>
          <w:tab w:val="right" w:leader="underscore" w:pos="9016"/>
        </w:tabs>
        <w:rPr>
          <w:rFonts w:eastAsiaTheme="minorEastAsia"/>
          <w:noProof/>
          <w:color w:val="auto"/>
          <w:sz w:val="22"/>
          <w:szCs w:val="22"/>
          <w:lang w:eastAsia="en-GB"/>
        </w:rPr>
      </w:pPr>
      <w:hyperlink w:anchor="_Toc110852483" w:history="1">
        <w:r w:rsidRPr="00612291">
          <w:rPr>
            <w:rStyle w:val="Hyperlink"/>
            <w:bCs/>
            <w:noProof/>
            <w14:scene3d>
              <w14:camera w14:prst="orthographicFront"/>
              <w14:lightRig w14:rig="threePt" w14:dir="t">
                <w14:rot w14:lat="0" w14:lon="0" w14:rev="0"/>
              </w14:lightRig>
            </w14:scene3d>
          </w:rPr>
          <w:t>5.1.</w:t>
        </w:r>
        <w:r>
          <w:rPr>
            <w:rFonts w:eastAsiaTheme="minorEastAsia"/>
            <w:noProof/>
            <w:color w:val="auto"/>
            <w:sz w:val="22"/>
            <w:szCs w:val="22"/>
            <w:lang w:eastAsia="en-GB"/>
          </w:rPr>
          <w:tab/>
        </w:r>
        <w:r w:rsidRPr="00612291">
          <w:rPr>
            <w:rStyle w:val="Hyperlink"/>
            <w:noProof/>
          </w:rPr>
          <w:t>ICB Board</w:t>
        </w:r>
        <w:r>
          <w:rPr>
            <w:noProof/>
            <w:webHidden/>
          </w:rPr>
          <w:tab/>
        </w:r>
        <w:r>
          <w:rPr>
            <w:noProof/>
            <w:webHidden/>
          </w:rPr>
          <w:fldChar w:fldCharType="begin"/>
        </w:r>
        <w:r>
          <w:rPr>
            <w:noProof/>
            <w:webHidden/>
          </w:rPr>
          <w:instrText xml:space="preserve"> PAGEREF _Toc110852483 \h </w:instrText>
        </w:r>
        <w:r>
          <w:rPr>
            <w:noProof/>
            <w:webHidden/>
          </w:rPr>
        </w:r>
        <w:r>
          <w:rPr>
            <w:noProof/>
            <w:webHidden/>
          </w:rPr>
          <w:fldChar w:fldCharType="separate"/>
        </w:r>
        <w:r>
          <w:rPr>
            <w:noProof/>
            <w:webHidden/>
          </w:rPr>
          <w:t>6</w:t>
        </w:r>
        <w:r>
          <w:rPr>
            <w:noProof/>
            <w:webHidden/>
          </w:rPr>
          <w:fldChar w:fldCharType="end"/>
        </w:r>
      </w:hyperlink>
    </w:p>
    <w:p w14:paraId="1D82C922" w14:textId="40E6EC92" w:rsidR="00C26FBF" w:rsidRDefault="00C26FBF">
      <w:pPr>
        <w:pStyle w:val="TOC2"/>
        <w:tabs>
          <w:tab w:val="right" w:leader="underscore" w:pos="9016"/>
        </w:tabs>
        <w:rPr>
          <w:rFonts w:eastAsiaTheme="minorEastAsia"/>
          <w:noProof/>
          <w:color w:val="auto"/>
          <w:sz w:val="22"/>
          <w:szCs w:val="22"/>
          <w:lang w:eastAsia="en-GB"/>
        </w:rPr>
      </w:pPr>
      <w:hyperlink w:anchor="_Toc110852484" w:history="1">
        <w:r w:rsidRPr="00612291">
          <w:rPr>
            <w:rStyle w:val="Hyperlink"/>
            <w:bCs/>
            <w:noProof/>
            <w14:scene3d>
              <w14:camera w14:prst="orthographicFront"/>
              <w14:lightRig w14:rig="threePt" w14:dir="t">
                <w14:rot w14:lat="0" w14:lon="0" w14:rev="0"/>
              </w14:lightRig>
            </w14:scene3d>
          </w:rPr>
          <w:t>5.2.</w:t>
        </w:r>
        <w:r>
          <w:rPr>
            <w:rFonts w:eastAsiaTheme="minorEastAsia"/>
            <w:noProof/>
            <w:color w:val="auto"/>
            <w:sz w:val="22"/>
            <w:szCs w:val="22"/>
            <w:lang w:eastAsia="en-GB"/>
          </w:rPr>
          <w:tab/>
        </w:r>
        <w:r w:rsidRPr="00612291">
          <w:rPr>
            <w:rStyle w:val="Hyperlink"/>
            <w:noProof/>
          </w:rPr>
          <w:t>Quality Committee</w:t>
        </w:r>
        <w:r>
          <w:rPr>
            <w:noProof/>
            <w:webHidden/>
          </w:rPr>
          <w:tab/>
        </w:r>
        <w:r>
          <w:rPr>
            <w:noProof/>
            <w:webHidden/>
          </w:rPr>
          <w:fldChar w:fldCharType="begin"/>
        </w:r>
        <w:r>
          <w:rPr>
            <w:noProof/>
            <w:webHidden/>
          </w:rPr>
          <w:instrText xml:space="preserve"> PAGEREF _Toc110852484 \h </w:instrText>
        </w:r>
        <w:r>
          <w:rPr>
            <w:noProof/>
            <w:webHidden/>
          </w:rPr>
        </w:r>
        <w:r>
          <w:rPr>
            <w:noProof/>
            <w:webHidden/>
          </w:rPr>
          <w:fldChar w:fldCharType="separate"/>
        </w:r>
        <w:r>
          <w:rPr>
            <w:noProof/>
            <w:webHidden/>
          </w:rPr>
          <w:t>6</w:t>
        </w:r>
        <w:r>
          <w:rPr>
            <w:noProof/>
            <w:webHidden/>
          </w:rPr>
          <w:fldChar w:fldCharType="end"/>
        </w:r>
      </w:hyperlink>
    </w:p>
    <w:p w14:paraId="3D6ADE51" w14:textId="382717FD" w:rsidR="00C26FBF" w:rsidRDefault="00C26FBF">
      <w:pPr>
        <w:pStyle w:val="TOC2"/>
        <w:tabs>
          <w:tab w:val="right" w:leader="underscore" w:pos="9016"/>
        </w:tabs>
        <w:rPr>
          <w:rFonts w:eastAsiaTheme="minorEastAsia"/>
          <w:noProof/>
          <w:color w:val="auto"/>
          <w:sz w:val="22"/>
          <w:szCs w:val="22"/>
          <w:lang w:eastAsia="en-GB"/>
        </w:rPr>
      </w:pPr>
      <w:hyperlink w:anchor="_Toc110852485" w:history="1">
        <w:r w:rsidRPr="00612291">
          <w:rPr>
            <w:rStyle w:val="Hyperlink"/>
            <w:bCs/>
            <w:noProof/>
            <w14:scene3d>
              <w14:camera w14:prst="orthographicFront"/>
              <w14:lightRig w14:rig="threePt" w14:dir="t">
                <w14:rot w14:lat="0" w14:lon="0" w14:rev="0"/>
              </w14:lightRig>
            </w14:scene3d>
          </w:rPr>
          <w:t>5.3.</w:t>
        </w:r>
        <w:r>
          <w:rPr>
            <w:rFonts w:eastAsiaTheme="minorEastAsia"/>
            <w:noProof/>
            <w:color w:val="auto"/>
            <w:sz w:val="22"/>
            <w:szCs w:val="22"/>
            <w:lang w:eastAsia="en-GB"/>
          </w:rPr>
          <w:tab/>
        </w:r>
        <w:r w:rsidRPr="00612291">
          <w:rPr>
            <w:rStyle w:val="Hyperlink"/>
            <w:noProof/>
          </w:rPr>
          <w:t>Chief Executive</w:t>
        </w:r>
        <w:r>
          <w:rPr>
            <w:noProof/>
            <w:webHidden/>
          </w:rPr>
          <w:tab/>
        </w:r>
        <w:r>
          <w:rPr>
            <w:noProof/>
            <w:webHidden/>
          </w:rPr>
          <w:fldChar w:fldCharType="begin"/>
        </w:r>
        <w:r>
          <w:rPr>
            <w:noProof/>
            <w:webHidden/>
          </w:rPr>
          <w:instrText xml:space="preserve"> PAGEREF _Toc110852485 \h </w:instrText>
        </w:r>
        <w:r>
          <w:rPr>
            <w:noProof/>
            <w:webHidden/>
          </w:rPr>
        </w:r>
        <w:r>
          <w:rPr>
            <w:noProof/>
            <w:webHidden/>
          </w:rPr>
          <w:fldChar w:fldCharType="separate"/>
        </w:r>
        <w:r>
          <w:rPr>
            <w:noProof/>
            <w:webHidden/>
          </w:rPr>
          <w:t>6</w:t>
        </w:r>
        <w:r>
          <w:rPr>
            <w:noProof/>
            <w:webHidden/>
          </w:rPr>
          <w:fldChar w:fldCharType="end"/>
        </w:r>
      </w:hyperlink>
    </w:p>
    <w:p w14:paraId="47DF8F69" w14:textId="2762A50B" w:rsidR="00C26FBF" w:rsidRDefault="00C26FBF">
      <w:pPr>
        <w:pStyle w:val="TOC2"/>
        <w:tabs>
          <w:tab w:val="right" w:leader="underscore" w:pos="9016"/>
        </w:tabs>
        <w:rPr>
          <w:rFonts w:eastAsiaTheme="minorEastAsia"/>
          <w:noProof/>
          <w:color w:val="auto"/>
          <w:sz w:val="22"/>
          <w:szCs w:val="22"/>
          <w:lang w:eastAsia="en-GB"/>
        </w:rPr>
      </w:pPr>
      <w:hyperlink w:anchor="_Toc110852486" w:history="1">
        <w:r w:rsidRPr="00612291">
          <w:rPr>
            <w:rStyle w:val="Hyperlink"/>
            <w:bCs/>
            <w:noProof/>
            <w14:scene3d>
              <w14:camera w14:prst="orthographicFront"/>
              <w14:lightRig w14:rig="threePt" w14:dir="t">
                <w14:rot w14:lat="0" w14:lon="0" w14:rev="0"/>
              </w14:lightRig>
            </w14:scene3d>
          </w:rPr>
          <w:t>5.4.</w:t>
        </w:r>
        <w:r>
          <w:rPr>
            <w:rFonts w:eastAsiaTheme="minorEastAsia"/>
            <w:noProof/>
            <w:color w:val="auto"/>
            <w:sz w:val="22"/>
            <w:szCs w:val="22"/>
            <w:lang w:eastAsia="en-GB"/>
          </w:rPr>
          <w:tab/>
        </w:r>
        <w:r w:rsidRPr="00612291">
          <w:rPr>
            <w:rStyle w:val="Hyperlink"/>
            <w:noProof/>
          </w:rPr>
          <w:t>Executive Director of Nursing and Quality</w:t>
        </w:r>
        <w:r>
          <w:rPr>
            <w:noProof/>
            <w:webHidden/>
          </w:rPr>
          <w:tab/>
        </w:r>
        <w:r>
          <w:rPr>
            <w:noProof/>
            <w:webHidden/>
          </w:rPr>
          <w:fldChar w:fldCharType="begin"/>
        </w:r>
        <w:r>
          <w:rPr>
            <w:noProof/>
            <w:webHidden/>
          </w:rPr>
          <w:instrText xml:space="preserve"> PAGEREF _Toc110852486 \h </w:instrText>
        </w:r>
        <w:r>
          <w:rPr>
            <w:noProof/>
            <w:webHidden/>
          </w:rPr>
        </w:r>
        <w:r>
          <w:rPr>
            <w:noProof/>
            <w:webHidden/>
          </w:rPr>
          <w:fldChar w:fldCharType="separate"/>
        </w:r>
        <w:r>
          <w:rPr>
            <w:noProof/>
            <w:webHidden/>
          </w:rPr>
          <w:t>6</w:t>
        </w:r>
        <w:r>
          <w:rPr>
            <w:noProof/>
            <w:webHidden/>
          </w:rPr>
          <w:fldChar w:fldCharType="end"/>
        </w:r>
      </w:hyperlink>
    </w:p>
    <w:p w14:paraId="668D7BA5" w14:textId="306ADBB4" w:rsidR="00C26FBF" w:rsidRDefault="00C26FBF">
      <w:pPr>
        <w:pStyle w:val="TOC2"/>
        <w:tabs>
          <w:tab w:val="right" w:leader="underscore" w:pos="9016"/>
        </w:tabs>
        <w:rPr>
          <w:rFonts w:eastAsiaTheme="minorEastAsia"/>
          <w:noProof/>
          <w:color w:val="auto"/>
          <w:sz w:val="22"/>
          <w:szCs w:val="22"/>
          <w:lang w:eastAsia="en-GB"/>
        </w:rPr>
      </w:pPr>
      <w:hyperlink w:anchor="_Toc110852487" w:history="1">
        <w:r w:rsidRPr="00612291">
          <w:rPr>
            <w:rStyle w:val="Hyperlink"/>
            <w:bCs/>
            <w:noProof/>
            <w14:scene3d>
              <w14:camera w14:prst="orthographicFront"/>
              <w14:lightRig w14:rig="threePt" w14:dir="t">
                <w14:rot w14:lat="0" w14:lon="0" w14:rev="0"/>
              </w14:lightRig>
            </w14:scene3d>
          </w:rPr>
          <w:t>5.5.</w:t>
        </w:r>
        <w:r>
          <w:rPr>
            <w:rFonts w:eastAsiaTheme="minorEastAsia"/>
            <w:noProof/>
            <w:color w:val="auto"/>
            <w:sz w:val="22"/>
            <w:szCs w:val="22"/>
            <w:lang w:eastAsia="en-GB"/>
          </w:rPr>
          <w:tab/>
        </w:r>
        <w:r w:rsidRPr="00612291">
          <w:rPr>
            <w:rStyle w:val="Hyperlink"/>
            <w:noProof/>
          </w:rPr>
          <w:t>Designated Professionals (safeguarding and LAC)</w:t>
        </w:r>
        <w:r>
          <w:rPr>
            <w:noProof/>
            <w:webHidden/>
          </w:rPr>
          <w:tab/>
        </w:r>
        <w:r>
          <w:rPr>
            <w:noProof/>
            <w:webHidden/>
          </w:rPr>
          <w:fldChar w:fldCharType="begin"/>
        </w:r>
        <w:r>
          <w:rPr>
            <w:noProof/>
            <w:webHidden/>
          </w:rPr>
          <w:instrText xml:space="preserve"> PAGEREF _Toc110852487 \h </w:instrText>
        </w:r>
        <w:r>
          <w:rPr>
            <w:noProof/>
            <w:webHidden/>
          </w:rPr>
        </w:r>
        <w:r>
          <w:rPr>
            <w:noProof/>
            <w:webHidden/>
          </w:rPr>
          <w:fldChar w:fldCharType="separate"/>
        </w:r>
        <w:r>
          <w:rPr>
            <w:noProof/>
            <w:webHidden/>
          </w:rPr>
          <w:t>7</w:t>
        </w:r>
        <w:r>
          <w:rPr>
            <w:noProof/>
            <w:webHidden/>
          </w:rPr>
          <w:fldChar w:fldCharType="end"/>
        </w:r>
      </w:hyperlink>
    </w:p>
    <w:p w14:paraId="5CCD543D" w14:textId="0D261961" w:rsidR="00C26FBF" w:rsidRDefault="00C26FBF">
      <w:pPr>
        <w:pStyle w:val="TOC2"/>
        <w:tabs>
          <w:tab w:val="right" w:leader="underscore" w:pos="9016"/>
        </w:tabs>
        <w:rPr>
          <w:rFonts w:eastAsiaTheme="minorEastAsia"/>
          <w:noProof/>
          <w:color w:val="auto"/>
          <w:sz w:val="22"/>
          <w:szCs w:val="22"/>
          <w:lang w:eastAsia="en-GB"/>
        </w:rPr>
      </w:pPr>
      <w:hyperlink w:anchor="_Toc110852488" w:history="1">
        <w:r w:rsidRPr="00612291">
          <w:rPr>
            <w:rStyle w:val="Hyperlink"/>
            <w:bCs/>
            <w:noProof/>
            <w14:scene3d>
              <w14:camera w14:prst="orthographicFront"/>
              <w14:lightRig w14:rig="threePt" w14:dir="t">
                <w14:rot w14:lat="0" w14:lon="0" w14:rev="0"/>
              </w14:lightRig>
            </w14:scene3d>
          </w:rPr>
          <w:t>5.6.</w:t>
        </w:r>
        <w:r>
          <w:rPr>
            <w:rFonts w:eastAsiaTheme="minorEastAsia"/>
            <w:noProof/>
            <w:color w:val="auto"/>
            <w:sz w:val="22"/>
            <w:szCs w:val="22"/>
            <w:lang w:eastAsia="en-GB"/>
          </w:rPr>
          <w:tab/>
        </w:r>
        <w:r w:rsidRPr="00612291">
          <w:rPr>
            <w:rStyle w:val="Hyperlink"/>
            <w:noProof/>
          </w:rPr>
          <w:t>All Staff</w:t>
        </w:r>
        <w:r>
          <w:rPr>
            <w:noProof/>
            <w:webHidden/>
          </w:rPr>
          <w:tab/>
        </w:r>
        <w:r>
          <w:rPr>
            <w:noProof/>
            <w:webHidden/>
          </w:rPr>
          <w:fldChar w:fldCharType="begin"/>
        </w:r>
        <w:r>
          <w:rPr>
            <w:noProof/>
            <w:webHidden/>
          </w:rPr>
          <w:instrText xml:space="preserve"> PAGEREF _Toc110852488 \h </w:instrText>
        </w:r>
        <w:r>
          <w:rPr>
            <w:noProof/>
            <w:webHidden/>
          </w:rPr>
        </w:r>
        <w:r>
          <w:rPr>
            <w:noProof/>
            <w:webHidden/>
          </w:rPr>
          <w:fldChar w:fldCharType="separate"/>
        </w:r>
        <w:r>
          <w:rPr>
            <w:noProof/>
            <w:webHidden/>
          </w:rPr>
          <w:t>7</w:t>
        </w:r>
        <w:r>
          <w:rPr>
            <w:noProof/>
            <w:webHidden/>
          </w:rPr>
          <w:fldChar w:fldCharType="end"/>
        </w:r>
      </w:hyperlink>
    </w:p>
    <w:p w14:paraId="4C258632" w14:textId="39EC7906" w:rsidR="00C26FBF" w:rsidRDefault="00C26FBF">
      <w:pPr>
        <w:pStyle w:val="TOC1"/>
        <w:rPr>
          <w:rFonts w:eastAsiaTheme="minorEastAsia"/>
          <w:b w:val="0"/>
          <w:noProof/>
          <w:color w:val="auto"/>
          <w:sz w:val="22"/>
          <w:szCs w:val="22"/>
          <w:lang w:eastAsia="en-GB"/>
        </w:rPr>
      </w:pPr>
      <w:hyperlink w:anchor="_Toc110852489" w:history="1">
        <w:r w:rsidRPr="00612291">
          <w:rPr>
            <w:rStyle w:val="Hyperlink"/>
            <w:noProof/>
          </w:rPr>
          <w:t>6.</w:t>
        </w:r>
        <w:r>
          <w:rPr>
            <w:rFonts w:eastAsiaTheme="minorEastAsia"/>
            <w:b w:val="0"/>
            <w:noProof/>
            <w:color w:val="auto"/>
            <w:sz w:val="22"/>
            <w:szCs w:val="22"/>
            <w:lang w:eastAsia="en-GB"/>
          </w:rPr>
          <w:tab/>
        </w:r>
        <w:r w:rsidRPr="00612291">
          <w:rPr>
            <w:rStyle w:val="Hyperlink"/>
            <w:noProof/>
          </w:rPr>
          <w:t>Policy Detail</w:t>
        </w:r>
        <w:r>
          <w:rPr>
            <w:noProof/>
            <w:webHidden/>
          </w:rPr>
          <w:tab/>
        </w:r>
        <w:r>
          <w:rPr>
            <w:noProof/>
            <w:webHidden/>
          </w:rPr>
          <w:fldChar w:fldCharType="begin"/>
        </w:r>
        <w:r>
          <w:rPr>
            <w:noProof/>
            <w:webHidden/>
          </w:rPr>
          <w:instrText xml:space="preserve"> PAGEREF _Toc110852489 \h </w:instrText>
        </w:r>
        <w:r>
          <w:rPr>
            <w:noProof/>
            <w:webHidden/>
          </w:rPr>
        </w:r>
        <w:r>
          <w:rPr>
            <w:noProof/>
            <w:webHidden/>
          </w:rPr>
          <w:fldChar w:fldCharType="separate"/>
        </w:r>
        <w:r>
          <w:rPr>
            <w:noProof/>
            <w:webHidden/>
          </w:rPr>
          <w:t>7</w:t>
        </w:r>
        <w:r>
          <w:rPr>
            <w:noProof/>
            <w:webHidden/>
          </w:rPr>
          <w:fldChar w:fldCharType="end"/>
        </w:r>
      </w:hyperlink>
    </w:p>
    <w:p w14:paraId="569A046E" w14:textId="679B9030" w:rsidR="00C26FBF" w:rsidRDefault="00C26FBF">
      <w:pPr>
        <w:pStyle w:val="TOC2"/>
        <w:tabs>
          <w:tab w:val="right" w:leader="underscore" w:pos="9016"/>
        </w:tabs>
        <w:rPr>
          <w:rFonts w:eastAsiaTheme="minorEastAsia"/>
          <w:noProof/>
          <w:color w:val="auto"/>
          <w:sz w:val="22"/>
          <w:szCs w:val="22"/>
          <w:lang w:eastAsia="en-GB"/>
        </w:rPr>
      </w:pPr>
      <w:hyperlink w:anchor="_Toc110852490" w:history="1">
        <w:r w:rsidRPr="00612291">
          <w:rPr>
            <w:rStyle w:val="Hyperlink"/>
            <w:bCs/>
            <w:noProof/>
            <w14:scene3d>
              <w14:camera w14:prst="orthographicFront"/>
              <w14:lightRig w14:rig="threePt" w14:dir="t">
                <w14:rot w14:lat="0" w14:lon="0" w14:rev="0"/>
              </w14:lightRig>
            </w14:scene3d>
          </w:rPr>
          <w:t>6.1.</w:t>
        </w:r>
        <w:r>
          <w:rPr>
            <w:rFonts w:eastAsiaTheme="minorEastAsia"/>
            <w:noProof/>
            <w:color w:val="auto"/>
            <w:sz w:val="22"/>
            <w:szCs w:val="22"/>
            <w:lang w:eastAsia="en-GB"/>
          </w:rPr>
          <w:tab/>
        </w:r>
        <w:r w:rsidRPr="00612291">
          <w:rPr>
            <w:rStyle w:val="Hyperlink"/>
            <w:noProof/>
          </w:rPr>
          <w:t>The Threat</w:t>
        </w:r>
        <w:r>
          <w:rPr>
            <w:noProof/>
            <w:webHidden/>
          </w:rPr>
          <w:tab/>
        </w:r>
        <w:r>
          <w:rPr>
            <w:noProof/>
            <w:webHidden/>
          </w:rPr>
          <w:fldChar w:fldCharType="begin"/>
        </w:r>
        <w:r>
          <w:rPr>
            <w:noProof/>
            <w:webHidden/>
          </w:rPr>
          <w:instrText xml:space="preserve"> PAGEREF _Toc110852490 \h </w:instrText>
        </w:r>
        <w:r>
          <w:rPr>
            <w:noProof/>
            <w:webHidden/>
          </w:rPr>
        </w:r>
        <w:r>
          <w:rPr>
            <w:noProof/>
            <w:webHidden/>
          </w:rPr>
          <w:fldChar w:fldCharType="separate"/>
        </w:r>
        <w:r>
          <w:rPr>
            <w:noProof/>
            <w:webHidden/>
          </w:rPr>
          <w:t>7</w:t>
        </w:r>
        <w:r>
          <w:rPr>
            <w:noProof/>
            <w:webHidden/>
          </w:rPr>
          <w:fldChar w:fldCharType="end"/>
        </w:r>
      </w:hyperlink>
    </w:p>
    <w:p w14:paraId="6DA8C8C0" w14:textId="1735D3D3" w:rsidR="00C26FBF" w:rsidRDefault="00C26FBF">
      <w:pPr>
        <w:pStyle w:val="TOC2"/>
        <w:tabs>
          <w:tab w:val="right" w:leader="underscore" w:pos="9016"/>
        </w:tabs>
        <w:rPr>
          <w:rFonts w:eastAsiaTheme="minorEastAsia"/>
          <w:noProof/>
          <w:color w:val="auto"/>
          <w:sz w:val="22"/>
          <w:szCs w:val="22"/>
          <w:lang w:eastAsia="en-GB"/>
        </w:rPr>
      </w:pPr>
      <w:hyperlink w:anchor="_Toc110852491" w:history="1">
        <w:r w:rsidRPr="00612291">
          <w:rPr>
            <w:rStyle w:val="Hyperlink"/>
            <w:bCs/>
            <w:noProof/>
            <w14:scene3d>
              <w14:camera w14:prst="orthographicFront"/>
              <w14:lightRig w14:rig="threePt" w14:dir="t">
                <w14:rot w14:lat="0" w14:lon="0" w14:rev="0"/>
              </w14:lightRig>
            </w14:scene3d>
          </w:rPr>
          <w:t>6.2.</w:t>
        </w:r>
        <w:r>
          <w:rPr>
            <w:rFonts w:eastAsiaTheme="minorEastAsia"/>
            <w:noProof/>
            <w:color w:val="auto"/>
            <w:sz w:val="22"/>
            <w:szCs w:val="22"/>
            <w:lang w:eastAsia="en-GB"/>
          </w:rPr>
          <w:tab/>
        </w:r>
        <w:r w:rsidRPr="00612291">
          <w:rPr>
            <w:rStyle w:val="Hyperlink"/>
            <w:noProof/>
          </w:rPr>
          <w:t>Prevent, Counter-Extremism and Integration</w:t>
        </w:r>
        <w:r>
          <w:rPr>
            <w:noProof/>
            <w:webHidden/>
          </w:rPr>
          <w:tab/>
        </w:r>
        <w:r>
          <w:rPr>
            <w:noProof/>
            <w:webHidden/>
          </w:rPr>
          <w:fldChar w:fldCharType="begin"/>
        </w:r>
        <w:r>
          <w:rPr>
            <w:noProof/>
            <w:webHidden/>
          </w:rPr>
          <w:instrText xml:space="preserve"> PAGEREF _Toc110852491 \h </w:instrText>
        </w:r>
        <w:r>
          <w:rPr>
            <w:noProof/>
            <w:webHidden/>
          </w:rPr>
        </w:r>
        <w:r>
          <w:rPr>
            <w:noProof/>
            <w:webHidden/>
          </w:rPr>
          <w:fldChar w:fldCharType="separate"/>
        </w:r>
        <w:r>
          <w:rPr>
            <w:noProof/>
            <w:webHidden/>
          </w:rPr>
          <w:t>8</w:t>
        </w:r>
        <w:r>
          <w:rPr>
            <w:noProof/>
            <w:webHidden/>
          </w:rPr>
          <w:fldChar w:fldCharType="end"/>
        </w:r>
      </w:hyperlink>
    </w:p>
    <w:p w14:paraId="7F2A50F4" w14:textId="6639A9B7" w:rsidR="00C26FBF" w:rsidRDefault="00C26FBF">
      <w:pPr>
        <w:pStyle w:val="TOC2"/>
        <w:tabs>
          <w:tab w:val="right" w:leader="underscore" w:pos="9016"/>
        </w:tabs>
        <w:rPr>
          <w:rFonts w:eastAsiaTheme="minorEastAsia"/>
          <w:noProof/>
          <w:color w:val="auto"/>
          <w:sz w:val="22"/>
          <w:szCs w:val="22"/>
          <w:lang w:eastAsia="en-GB"/>
        </w:rPr>
      </w:pPr>
      <w:hyperlink w:anchor="_Toc110852492" w:history="1">
        <w:r w:rsidRPr="00612291">
          <w:rPr>
            <w:rStyle w:val="Hyperlink"/>
            <w:bCs/>
            <w:noProof/>
            <w14:scene3d>
              <w14:camera w14:prst="orthographicFront"/>
              <w14:lightRig w14:rig="threePt" w14:dir="t">
                <w14:rot w14:lat="0" w14:lon="0" w14:rev="0"/>
              </w14:lightRig>
            </w14:scene3d>
          </w:rPr>
          <w:t>6.3.</w:t>
        </w:r>
        <w:r>
          <w:rPr>
            <w:rFonts w:eastAsiaTheme="minorEastAsia"/>
            <w:noProof/>
            <w:color w:val="auto"/>
            <w:sz w:val="22"/>
            <w:szCs w:val="22"/>
            <w:lang w:eastAsia="en-GB"/>
          </w:rPr>
          <w:tab/>
        </w:r>
        <w:r w:rsidRPr="00612291">
          <w:rPr>
            <w:rStyle w:val="Hyperlink"/>
            <w:noProof/>
          </w:rPr>
          <w:t>Understanding and recognising the risk and identifying vulnerable people</w:t>
        </w:r>
        <w:r>
          <w:rPr>
            <w:noProof/>
            <w:webHidden/>
          </w:rPr>
          <w:tab/>
        </w:r>
        <w:r>
          <w:rPr>
            <w:noProof/>
            <w:webHidden/>
          </w:rPr>
          <w:fldChar w:fldCharType="begin"/>
        </w:r>
        <w:r>
          <w:rPr>
            <w:noProof/>
            <w:webHidden/>
          </w:rPr>
          <w:instrText xml:space="preserve"> PAGEREF _Toc110852492 \h </w:instrText>
        </w:r>
        <w:r>
          <w:rPr>
            <w:noProof/>
            <w:webHidden/>
          </w:rPr>
        </w:r>
        <w:r>
          <w:rPr>
            <w:noProof/>
            <w:webHidden/>
          </w:rPr>
          <w:fldChar w:fldCharType="separate"/>
        </w:r>
        <w:r>
          <w:rPr>
            <w:noProof/>
            <w:webHidden/>
          </w:rPr>
          <w:t>8</w:t>
        </w:r>
        <w:r>
          <w:rPr>
            <w:noProof/>
            <w:webHidden/>
          </w:rPr>
          <w:fldChar w:fldCharType="end"/>
        </w:r>
      </w:hyperlink>
    </w:p>
    <w:p w14:paraId="15708D5D" w14:textId="544AB13E" w:rsidR="00C26FBF" w:rsidRDefault="00C26FBF">
      <w:pPr>
        <w:pStyle w:val="TOC2"/>
        <w:tabs>
          <w:tab w:val="right" w:leader="underscore" w:pos="9016"/>
        </w:tabs>
        <w:rPr>
          <w:rFonts w:eastAsiaTheme="minorEastAsia"/>
          <w:noProof/>
          <w:color w:val="auto"/>
          <w:sz w:val="22"/>
          <w:szCs w:val="22"/>
          <w:lang w:eastAsia="en-GB"/>
        </w:rPr>
      </w:pPr>
      <w:hyperlink w:anchor="_Toc110852493" w:history="1">
        <w:r w:rsidRPr="00612291">
          <w:rPr>
            <w:rStyle w:val="Hyperlink"/>
            <w:bCs/>
            <w:noProof/>
            <w14:scene3d>
              <w14:camera w14:prst="orthographicFront"/>
              <w14:lightRig w14:rig="threePt" w14:dir="t">
                <w14:rot w14:lat="0" w14:lon="0" w14:rev="0"/>
              </w14:lightRig>
            </w14:scene3d>
          </w:rPr>
          <w:t>6.4.</w:t>
        </w:r>
        <w:r>
          <w:rPr>
            <w:rFonts w:eastAsiaTheme="minorEastAsia"/>
            <w:noProof/>
            <w:color w:val="auto"/>
            <w:sz w:val="22"/>
            <w:szCs w:val="22"/>
            <w:lang w:eastAsia="en-GB"/>
          </w:rPr>
          <w:tab/>
        </w:r>
        <w:r w:rsidRPr="00612291">
          <w:rPr>
            <w:rStyle w:val="Hyperlink"/>
            <w:noProof/>
          </w:rPr>
          <w:t>Consent</w:t>
        </w:r>
        <w:r>
          <w:rPr>
            <w:noProof/>
            <w:webHidden/>
          </w:rPr>
          <w:tab/>
        </w:r>
        <w:r>
          <w:rPr>
            <w:noProof/>
            <w:webHidden/>
          </w:rPr>
          <w:fldChar w:fldCharType="begin"/>
        </w:r>
        <w:r>
          <w:rPr>
            <w:noProof/>
            <w:webHidden/>
          </w:rPr>
          <w:instrText xml:space="preserve"> PAGEREF _Toc110852493 \h </w:instrText>
        </w:r>
        <w:r>
          <w:rPr>
            <w:noProof/>
            <w:webHidden/>
          </w:rPr>
        </w:r>
        <w:r>
          <w:rPr>
            <w:noProof/>
            <w:webHidden/>
          </w:rPr>
          <w:fldChar w:fldCharType="separate"/>
        </w:r>
        <w:r>
          <w:rPr>
            <w:noProof/>
            <w:webHidden/>
          </w:rPr>
          <w:t>10</w:t>
        </w:r>
        <w:r>
          <w:rPr>
            <w:noProof/>
            <w:webHidden/>
          </w:rPr>
          <w:fldChar w:fldCharType="end"/>
        </w:r>
      </w:hyperlink>
    </w:p>
    <w:p w14:paraId="19EBF1D8" w14:textId="7262B50A" w:rsidR="00C26FBF" w:rsidRDefault="00C26FBF">
      <w:pPr>
        <w:pStyle w:val="TOC2"/>
        <w:tabs>
          <w:tab w:val="right" w:leader="underscore" w:pos="9016"/>
        </w:tabs>
        <w:rPr>
          <w:rFonts w:eastAsiaTheme="minorEastAsia"/>
          <w:noProof/>
          <w:color w:val="auto"/>
          <w:sz w:val="22"/>
          <w:szCs w:val="22"/>
          <w:lang w:eastAsia="en-GB"/>
        </w:rPr>
      </w:pPr>
      <w:hyperlink w:anchor="_Toc110852494" w:history="1">
        <w:r w:rsidRPr="00612291">
          <w:rPr>
            <w:rStyle w:val="Hyperlink"/>
            <w:bCs/>
            <w:noProof/>
            <w14:scene3d>
              <w14:camera w14:prst="orthographicFront"/>
              <w14:lightRig w14:rig="threePt" w14:dir="t">
                <w14:rot w14:lat="0" w14:lon="0" w14:rev="0"/>
              </w14:lightRig>
            </w14:scene3d>
          </w:rPr>
          <w:t>6.5.</w:t>
        </w:r>
        <w:r>
          <w:rPr>
            <w:rFonts w:eastAsiaTheme="minorEastAsia"/>
            <w:noProof/>
            <w:color w:val="auto"/>
            <w:sz w:val="22"/>
            <w:szCs w:val="22"/>
            <w:lang w:eastAsia="en-GB"/>
          </w:rPr>
          <w:tab/>
        </w:r>
        <w:r w:rsidRPr="00612291">
          <w:rPr>
            <w:rStyle w:val="Hyperlink"/>
            <w:noProof/>
          </w:rPr>
          <w:t>Prevent and Channel referral process</w:t>
        </w:r>
        <w:r>
          <w:rPr>
            <w:noProof/>
            <w:webHidden/>
          </w:rPr>
          <w:tab/>
        </w:r>
        <w:r>
          <w:rPr>
            <w:noProof/>
            <w:webHidden/>
          </w:rPr>
          <w:fldChar w:fldCharType="begin"/>
        </w:r>
        <w:r>
          <w:rPr>
            <w:noProof/>
            <w:webHidden/>
          </w:rPr>
          <w:instrText xml:space="preserve"> PAGEREF _Toc110852494 \h </w:instrText>
        </w:r>
        <w:r>
          <w:rPr>
            <w:noProof/>
            <w:webHidden/>
          </w:rPr>
        </w:r>
        <w:r>
          <w:rPr>
            <w:noProof/>
            <w:webHidden/>
          </w:rPr>
          <w:fldChar w:fldCharType="separate"/>
        </w:r>
        <w:r>
          <w:rPr>
            <w:noProof/>
            <w:webHidden/>
          </w:rPr>
          <w:t>10</w:t>
        </w:r>
        <w:r>
          <w:rPr>
            <w:noProof/>
            <w:webHidden/>
          </w:rPr>
          <w:fldChar w:fldCharType="end"/>
        </w:r>
      </w:hyperlink>
    </w:p>
    <w:p w14:paraId="0BA9A2C5" w14:textId="660E4D10" w:rsidR="00C26FBF" w:rsidRDefault="00C26FBF">
      <w:pPr>
        <w:pStyle w:val="TOC1"/>
        <w:rPr>
          <w:rFonts w:eastAsiaTheme="minorEastAsia"/>
          <w:b w:val="0"/>
          <w:noProof/>
          <w:color w:val="auto"/>
          <w:sz w:val="22"/>
          <w:szCs w:val="22"/>
          <w:lang w:eastAsia="en-GB"/>
        </w:rPr>
      </w:pPr>
      <w:hyperlink w:anchor="_Toc110852495" w:history="1">
        <w:r w:rsidRPr="00612291">
          <w:rPr>
            <w:rStyle w:val="Hyperlink"/>
            <w:noProof/>
          </w:rPr>
          <w:t>7.</w:t>
        </w:r>
        <w:r>
          <w:rPr>
            <w:rFonts w:eastAsiaTheme="minorEastAsia"/>
            <w:b w:val="0"/>
            <w:noProof/>
            <w:color w:val="auto"/>
            <w:sz w:val="22"/>
            <w:szCs w:val="22"/>
            <w:lang w:eastAsia="en-GB"/>
          </w:rPr>
          <w:tab/>
        </w:r>
        <w:r w:rsidRPr="00612291">
          <w:rPr>
            <w:rStyle w:val="Hyperlink"/>
            <w:noProof/>
          </w:rPr>
          <w:t>Monitoring Compliance</w:t>
        </w:r>
        <w:r>
          <w:rPr>
            <w:noProof/>
            <w:webHidden/>
          </w:rPr>
          <w:tab/>
        </w:r>
        <w:r>
          <w:rPr>
            <w:noProof/>
            <w:webHidden/>
          </w:rPr>
          <w:fldChar w:fldCharType="begin"/>
        </w:r>
        <w:r>
          <w:rPr>
            <w:noProof/>
            <w:webHidden/>
          </w:rPr>
          <w:instrText xml:space="preserve"> PAGEREF _Toc110852495 \h </w:instrText>
        </w:r>
        <w:r>
          <w:rPr>
            <w:noProof/>
            <w:webHidden/>
          </w:rPr>
        </w:r>
        <w:r>
          <w:rPr>
            <w:noProof/>
            <w:webHidden/>
          </w:rPr>
          <w:fldChar w:fldCharType="separate"/>
        </w:r>
        <w:r>
          <w:rPr>
            <w:noProof/>
            <w:webHidden/>
          </w:rPr>
          <w:t>12</w:t>
        </w:r>
        <w:r>
          <w:rPr>
            <w:noProof/>
            <w:webHidden/>
          </w:rPr>
          <w:fldChar w:fldCharType="end"/>
        </w:r>
      </w:hyperlink>
    </w:p>
    <w:p w14:paraId="05D614FF" w14:textId="58C912C7" w:rsidR="00C26FBF" w:rsidRDefault="00C26FBF">
      <w:pPr>
        <w:pStyle w:val="TOC2"/>
        <w:tabs>
          <w:tab w:val="right" w:leader="underscore" w:pos="9016"/>
        </w:tabs>
        <w:rPr>
          <w:rFonts w:eastAsiaTheme="minorEastAsia"/>
          <w:noProof/>
          <w:color w:val="auto"/>
          <w:sz w:val="22"/>
          <w:szCs w:val="22"/>
          <w:lang w:eastAsia="en-GB"/>
        </w:rPr>
      </w:pPr>
      <w:hyperlink w:anchor="_Toc110852496" w:history="1">
        <w:r w:rsidRPr="00612291">
          <w:rPr>
            <w:rStyle w:val="Hyperlink"/>
            <w:bCs/>
            <w:noProof/>
            <w14:scene3d>
              <w14:camera w14:prst="orthographicFront"/>
              <w14:lightRig w14:rig="threePt" w14:dir="t">
                <w14:rot w14:lat="0" w14:lon="0" w14:rev="0"/>
              </w14:lightRig>
            </w14:scene3d>
          </w:rPr>
          <w:t>7.1.</w:t>
        </w:r>
        <w:r>
          <w:rPr>
            <w:rFonts w:eastAsiaTheme="minorEastAsia"/>
            <w:noProof/>
            <w:color w:val="auto"/>
            <w:sz w:val="22"/>
            <w:szCs w:val="22"/>
            <w:lang w:eastAsia="en-GB"/>
          </w:rPr>
          <w:tab/>
        </w:r>
        <w:r w:rsidRPr="00612291">
          <w:rPr>
            <w:rStyle w:val="Hyperlink"/>
            <w:noProof/>
          </w:rPr>
          <w:t>Contract and Performance Management</w:t>
        </w:r>
        <w:r>
          <w:rPr>
            <w:noProof/>
            <w:webHidden/>
          </w:rPr>
          <w:tab/>
        </w:r>
        <w:r>
          <w:rPr>
            <w:noProof/>
            <w:webHidden/>
          </w:rPr>
          <w:fldChar w:fldCharType="begin"/>
        </w:r>
        <w:r>
          <w:rPr>
            <w:noProof/>
            <w:webHidden/>
          </w:rPr>
          <w:instrText xml:space="preserve"> PAGEREF _Toc110852496 \h </w:instrText>
        </w:r>
        <w:r>
          <w:rPr>
            <w:noProof/>
            <w:webHidden/>
          </w:rPr>
        </w:r>
        <w:r>
          <w:rPr>
            <w:noProof/>
            <w:webHidden/>
          </w:rPr>
          <w:fldChar w:fldCharType="separate"/>
        </w:r>
        <w:r>
          <w:rPr>
            <w:noProof/>
            <w:webHidden/>
          </w:rPr>
          <w:t>12</w:t>
        </w:r>
        <w:r>
          <w:rPr>
            <w:noProof/>
            <w:webHidden/>
          </w:rPr>
          <w:fldChar w:fldCharType="end"/>
        </w:r>
      </w:hyperlink>
    </w:p>
    <w:p w14:paraId="00F01B4F" w14:textId="6C9178F9" w:rsidR="00C26FBF" w:rsidRDefault="00C26FBF">
      <w:pPr>
        <w:pStyle w:val="TOC1"/>
        <w:rPr>
          <w:rFonts w:eastAsiaTheme="minorEastAsia"/>
          <w:b w:val="0"/>
          <w:noProof/>
          <w:color w:val="auto"/>
          <w:sz w:val="22"/>
          <w:szCs w:val="22"/>
          <w:lang w:eastAsia="en-GB"/>
        </w:rPr>
      </w:pPr>
      <w:hyperlink w:anchor="_Toc110852497" w:history="1">
        <w:r w:rsidRPr="00612291">
          <w:rPr>
            <w:rStyle w:val="Hyperlink"/>
            <w:noProof/>
          </w:rPr>
          <w:t>8.</w:t>
        </w:r>
        <w:r>
          <w:rPr>
            <w:rFonts w:eastAsiaTheme="minorEastAsia"/>
            <w:b w:val="0"/>
            <w:noProof/>
            <w:color w:val="auto"/>
            <w:sz w:val="22"/>
            <w:szCs w:val="22"/>
            <w:lang w:eastAsia="en-GB"/>
          </w:rPr>
          <w:tab/>
        </w:r>
        <w:r w:rsidRPr="00612291">
          <w:rPr>
            <w:rStyle w:val="Hyperlink"/>
            <w:noProof/>
          </w:rPr>
          <w:t>Staff Training</w:t>
        </w:r>
        <w:r>
          <w:rPr>
            <w:noProof/>
            <w:webHidden/>
          </w:rPr>
          <w:tab/>
        </w:r>
        <w:r>
          <w:rPr>
            <w:noProof/>
            <w:webHidden/>
          </w:rPr>
          <w:fldChar w:fldCharType="begin"/>
        </w:r>
        <w:r>
          <w:rPr>
            <w:noProof/>
            <w:webHidden/>
          </w:rPr>
          <w:instrText xml:space="preserve"> PAGEREF _Toc110852497 \h </w:instrText>
        </w:r>
        <w:r>
          <w:rPr>
            <w:noProof/>
            <w:webHidden/>
          </w:rPr>
        </w:r>
        <w:r>
          <w:rPr>
            <w:noProof/>
            <w:webHidden/>
          </w:rPr>
          <w:fldChar w:fldCharType="separate"/>
        </w:r>
        <w:r>
          <w:rPr>
            <w:noProof/>
            <w:webHidden/>
          </w:rPr>
          <w:t>12</w:t>
        </w:r>
        <w:r>
          <w:rPr>
            <w:noProof/>
            <w:webHidden/>
          </w:rPr>
          <w:fldChar w:fldCharType="end"/>
        </w:r>
      </w:hyperlink>
    </w:p>
    <w:p w14:paraId="165460AC" w14:textId="7D569E6C" w:rsidR="00C26FBF" w:rsidRDefault="00C26FBF">
      <w:pPr>
        <w:pStyle w:val="TOC1"/>
        <w:rPr>
          <w:rFonts w:eastAsiaTheme="minorEastAsia"/>
          <w:b w:val="0"/>
          <w:noProof/>
          <w:color w:val="auto"/>
          <w:sz w:val="22"/>
          <w:szCs w:val="22"/>
          <w:lang w:eastAsia="en-GB"/>
        </w:rPr>
      </w:pPr>
      <w:hyperlink w:anchor="_Toc110852498" w:history="1">
        <w:r w:rsidRPr="00612291">
          <w:rPr>
            <w:rStyle w:val="Hyperlink"/>
            <w:noProof/>
          </w:rPr>
          <w:t>9.</w:t>
        </w:r>
        <w:r>
          <w:rPr>
            <w:rFonts w:eastAsiaTheme="minorEastAsia"/>
            <w:b w:val="0"/>
            <w:noProof/>
            <w:color w:val="auto"/>
            <w:sz w:val="22"/>
            <w:szCs w:val="22"/>
            <w:lang w:eastAsia="en-GB"/>
          </w:rPr>
          <w:tab/>
        </w:r>
        <w:r w:rsidRPr="00612291">
          <w:rPr>
            <w:rStyle w:val="Hyperlink"/>
            <w:noProof/>
          </w:rPr>
          <w:t>Arrangements for Review</w:t>
        </w:r>
        <w:r>
          <w:rPr>
            <w:noProof/>
            <w:webHidden/>
          </w:rPr>
          <w:tab/>
        </w:r>
        <w:r>
          <w:rPr>
            <w:noProof/>
            <w:webHidden/>
          </w:rPr>
          <w:fldChar w:fldCharType="begin"/>
        </w:r>
        <w:r>
          <w:rPr>
            <w:noProof/>
            <w:webHidden/>
          </w:rPr>
          <w:instrText xml:space="preserve"> PAGEREF _Toc110852498 \h </w:instrText>
        </w:r>
        <w:r>
          <w:rPr>
            <w:noProof/>
            <w:webHidden/>
          </w:rPr>
        </w:r>
        <w:r>
          <w:rPr>
            <w:noProof/>
            <w:webHidden/>
          </w:rPr>
          <w:fldChar w:fldCharType="separate"/>
        </w:r>
        <w:r>
          <w:rPr>
            <w:noProof/>
            <w:webHidden/>
          </w:rPr>
          <w:t>13</w:t>
        </w:r>
        <w:r>
          <w:rPr>
            <w:noProof/>
            <w:webHidden/>
          </w:rPr>
          <w:fldChar w:fldCharType="end"/>
        </w:r>
      </w:hyperlink>
    </w:p>
    <w:p w14:paraId="3E0D5817" w14:textId="06FEDA5D" w:rsidR="00C26FBF" w:rsidRDefault="00C26FBF">
      <w:pPr>
        <w:pStyle w:val="TOC1"/>
        <w:rPr>
          <w:rFonts w:eastAsiaTheme="minorEastAsia"/>
          <w:b w:val="0"/>
          <w:noProof/>
          <w:color w:val="auto"/>
          <w:sz w:val="22"/>
          <w:szCs w:val="22"/>
          <w:lang w:eastAsia="en-GB"/>
        </w:rPr>
      </w:pPr>
      <w:hyperlink w:anchor="_Toc110852499" w:history="1">
        <w:r w:rsidRPr="00612291">
          <w:rPr>
            <w:rStyle w:val="Hyperlink"/>
            <w:noProof/>
          </w:rPr>
          <w:t>10.</w:t>
        </w:r>
        <w:r>
          <w:rPr>
            <w:rFonts w:eastAsiaTheme="minorEastAsia"/>
            <w:b w:val="0"/>
            <w:noProof/>
            <w:color w:val="auto"/>
            <w:sz w:val="22"/>
            <w:szCs w:val="22"/>
            <w:lang w:eastAsia="en-GB"/>
          </w:rPr>
          <w:tab/>
        </w:r>
        <w:r w:rsidRPr="00612291">
          <w:rPr>
            <w:rStyle w:val="Hyperlink"/>
            <w:noProof/>
          </w:rPr>
          <w:t>Associated Policies, Guidance and Documents</w:t>
        </w:r>
        <w:r>
          <w:rPr>
            <w:noProof/>
            <w:webHidden/>
          </w:rPr>
          <w:tab/>
        </w:r>
        <w:r>
          <w:rPr>
            <w:noProof/>
            <w:webHidden/>
          </w:rPr>
          <w:fldChar w:fldCharType="begin"/>
        </w:r>
        <w:r>
          <w:rPr>
            <w:noProof/>
            <w:webHidden/>
          </w:rPr>
          <w:instrText xml:space="preserve"> PAGEREF _Toc110852499 \h </w:instrText>
        </w:r>
        <w:r>
          <w:rPr>
            <w:noProof/>
            <w:webHidden/>
          </w:rPr>
        </w:r>
        <w:r>
          <w:rPr>
            <w:noProof/>
            <w:webHidden/>
          </w:rPr>
          <w:fldChar w:fldCharType="separate"/>
        </w:r>
        <w:r>
          <w:rPr>
            <w:noProof/>
            <w:webHidden/>
          </w:rPr>
          <w:t>13</w:t>
        </w:r>
        <w:r>
          <w:rPr>
            <w:noProof/>
            <w:webHidden/>
          </w:rPr>
          <w:fldChar w:fldCharType="end"/>
        </w:r>
      </w:hyperlink>
    </w:p>
    <w:p w14:paraId="20F932C7" w14:textId="2BA00204" w:rsidR="00C26FBF" w:rsidRDefault="00C26FBF">
      <w:pPr>
        <w:pStyle w:val="TOC1"/>
        <w:rPr>
          <w:rFonts w:eastAsiaTheme="minorEastAsia"/>
          <w:b w:val="0"/>
          <w:noProof/>
          <w:color w:val="auto"/>
          <w:sz w:val="22"/>
          <w:szCs w:val="22"/>
          <w:lang w:eastAsia="en-GB"/>
        </w:rPr>
      </w:pPr>
      <w:hyperlink w:anchor="_Toc110852500" w:history="1">
        <w:r w:rsidRPr="00612291">
          <w:rPr>
            <w:rStyle w:val="Hyperlink"/>
            <w:noProof/>
          </w:rPr>
          <w:t>11.</w:t>
        </w:r>
        <w:r>
          <w:rPr>
            <w:rFonts w:eastAsiaTheme="minorEastAsia"/>
            <w:b w:val="0"/>
            <w:noProof/>
            <w:color w:val="auto"/>
            <w:sz w:val="22"/>
            <w:szCs w:val="22"/>
            <w:lang w:eastAsia="en-GB"/>
          </w:rPr>
          <w:tab/>
        </w:r>
        <w:r w:rsidRPr="00612291">
          <w:rPr>
            <w:rStyle w:val="Hyperlink"/>
            <w:noProof/>
          </w:rPr>
          <w:t>Equality Impact Assessment</w:t>
        </w:r>
        <w:r>
          <w:rPr>
            <w:noProof/>
            <w:webHidden/>
          </w:rPr>
          <w:tab/>
        </w:r>
        <w:r>
          <w:rPr>
            <w:noProof/>
            <w:webHidden/>
          </w:rPr>
          <w:fldChar w:fldCharType="begin"/>
        </w:r>
        <w:r>
          <w:rPr>
            <w:noProof/>
            <w:webHidden/>
          </w:rPr>
          <w:instrText xml:space="preserve"> PAGEREF _Toc110852500 \h </w:instrText>
        </w:r>
        <w:r>
          <w:rPr>
            <w:noProof/>
            <w:webHidden/>
          </w:rPr>
        </w:r>
        <w:r>
          <w:rPr>
            <w:noProof/>
            <w:webHidden/>
          </w:rPr>
          <w:fldChar w:fldCharType="separate"/>
        </w:r>
        <w:r>
          <w:rPr>
            <w:noProof/>
            <w:webHidden/>
          </w:rPr>
          <w:t>13</w:t>
        </w:r>
        <w:r>
          <w:rPr>
            <w:noProof/>
            <w:webHidden/>
          </w:rPr>
          <w:fldChar w:fldCharType="end"/>
        </w:r>
      </w:hyperlink>
    </w:p>
    <w:p w14:paraId="131DB1F2" w14:textId="54B5DEE1" w:rsidR="00C26FBF" w:rsidRDefault="00C26FBF">
      <w:pPr>
        <w:pStyle w:val="TOC1"/>
        <w:rPr>
          <w:rFonts w:eastAsiaTheme="minorEastAsia"/>
          <w:b w:val="0"/>
          <w:noProof/>
          <w:color w:val="auto"/>
          <w:sz w:val="22"/>
          <w:szCs w:val="22"/>
          <w:lang w:eastAsia="en-GB"/>
        </w:rPr>
      </w:pPr>
      <w:hyperlink w:anchor="_Toc110852501" w:history="1">
        <w:r w:rsidRPr="00612291">
          <w:rPr>
            <w:rStyle w:val="Hyperlink"/>
            <w:noProof/>
          </w:rPr>
          <w:t>Appendix A - Equality Impact Assessment</w:t>
        </w:r>
        <w:r>
          <w:rPr>
            <w:noProof/>
            <w:webHidden/>
          </w:rPr>
          <w:tab/>
        </w:r>
        <w:r>
          <w:rPr>
            <w:noProof/>
            <w:webHidden/>
          </w:rPr>
          <w:fldChar w:fldCharType="begin"/>
        </w:r>
        <w:r>
          <w:rPr>
            <w:noProof/>
            <w:webHidden/>
          </w:rPr>
          <w:instrText xml:space="preserve"> PAGEREF _Toc110852501 \h </w:instrText>
        </w:r>
        <w:r>
          <w:rPr>
            <w:noProof/>
            <w:webHidden/>
          </w:rPr>
        </w:r>
        <w:r>
          <w:rPr>
            <w:noProof/>
            <w:webHidden/>
          </w:rPr>
          <w:fldChar w:fldCharType="separate"/>
        </w:r>
        <w:r>
          <w:rPr>
            <w:noProof/>
            <w:webHidden/>
          </w:rPr>
          <w:t>14</w:t>
        </w:r>
        <w:r>
          <w:rPr>
            <w:noProof/>
            <w:webHidden/>
          </w:rPr>
          <w:fldChar w:fldCharType="end"/>
        </w:r>
      </w:hyperlink>
    </w:p>
    <w:p w14:paraId="79AC109D" w14:textId="7540467C" w:rsidR="00F913CD" w:rsidRDefault="000665B0" w:rsidP="00C2062B">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C2062B">
      <w:pPr>
        <w:pStyle w:val="Heading2"/>
      </w:pPr>
      <w:bookmarkStart w:id="2" w:name="_Toc84611043"/>
      <w:bookmarkStart w:id="3" w:name="_Toc89326544"/>
      <w:bookmarkStart w:id="4" w:name="_Toc110852476"/>
      <w:r w:rsidRPr="0015255F">
        <w:t>Introduction</w:t>
      </w:r>
      <w:bookmarkEnd w:id="2"/>
      <w:bookmarkEnd w:id="3"/>
      <w:bookmarkEnd w:id="4"/>
    </w:p>
    <w:p w14:paraId="1996F48C" w14:textId="77777777" w:rsidR="008D5E4F" w:rsidRDefault="008D5E4F" w:rsidP="00C2062B">
      <w:pPr>
        <w:pStyle w:val="Style1"/>
        <w:ind w:left="1134"/>
      </w:pPr>
      <w:bookmarkStart w:id="5" w:name="_Toc89326545"/>
      <w:r w:rsidRPr="005727DF">
        <w:t>All</w:t>
      </w:r>
      <w:r w:rsidRPr="005727DF">
        <w:rPr>
          <w:spacing w:val="43"/>
        </w:rPr>
        <w:t xml:space="preserve"> </w:t>
      </w:r>
      <w:r w:rsidRPr="005727DF">
        <w:t>NHS</w:t>
      </w:r>
      <w:r w:rsidRPr="005727DF">
        <w:rPr>
          <w:spacing w:val="44"/>
        </w:rPr>
        <w:t xml:space="preserve"> </w:t>
      </w:r>
      <w:r w:rsidRPr="005727DF">
        <w:rPr>
          <w:spacing w:val="-1"/>
        </w:rPr>
        <w:t>organisations</w:t>
      </w:r>
      <w:r w:rsidRPr="005727DF">
        <w:rPr>
          <w:spacing w:val="43"/>
        </w:rPr>
        <w:t xml:space="preserve"> </w:t>
      </w:r>
      <w:r w:rsidRPr="005727DF">
        <w:t>should</w:t>
      </w:r>
      <w:r w:rsidRPr="005727DF">
        <w:rPr>
          <w:spacing w:val="43"/>
        </w:rPr>
        <w:t xml:space="preserve"> </w:t>
      </w:r>
      <w:r w:rsidRPr="005727DF">
        <w:t>have</w:t>
      </w:r>
      <w:r w:rsidRPr="005727DF">
        <w:rPr>
          <w:spacing w:val="44"/>
        </w:rPr>
        <w:t xml:space="preserve"> </w:t>
      </w:r>
      <w:r w:rsidRPr="005727DF">
        <w:t>a</w:t>
      </w:r>
      <w:r w:rsidRPr="005727DF">
        <w:rPr>
          <w:spacing w:val="44"/>
        </w:rPr>
        <w:t xml:space="preserve"> </w:t>
      </w:r>
      <w:r w:rsidRPr="005727DF">
        <w:t>Prevent</w:t>
      </w:r>
      <w:r w:rsidRPr="005727DF">
        <w:rPr>
          <w:spacing w:val="44"/>
        </w:rPr>
        <w:t xml:space="preserve"> </w:t>
      </w:r>
      <w:r w:rsidRPr="005727DF">
        <w:t>policy</w:t>
      </w:r>
      <w:r w:rsidRPr="005727DF">
        <w:rPr>
          <w:spacing w:val="43"/>
        </w:rPr>
        <w:t xml:space="preserve"> </w:t>
      </w:r>
      <w:r w:rsidRPr="005727DF">
        <w:t>in</w:t>
      </w:r>
      <w:r w:rsidRPr="005727DF">
        <w:rPr>
          <w:spacing w:val="44"/>
        </w:rPr>
        <w:t xml:space="preserve"> </w:t>
      </w:r>
      <w:r w:rsidRPr="005727DF">
        <w:rPr>
          <w:spacing w:val="-1"/>
        </w:rPr>
        <w:t>place</w:t>
      </w:r>
      <w:r w:rsidRPr="005727DF">
        <w:rPr>
          <w:spacing w:val="44"/>
        </w:rPr>
        <w:t xml:space="preserve"> </w:t>
      </w:r>
      <w:r w:rsidRPr="005727DF">
        <w:t>under</w:t>
      </w:r>
      <w:r w:rsidRPr="005727DF">
        <w:rPr>
          <w:spacing w:val="42"/>
        </w:rPr>
        <w:t xml:space="preserve"> </w:t>
      </w:r>
      <w:r w:rsidRPr="005727DF">
        <w:t>the</w:t>
      </w:r>
      <w:r w:rsidRPr="005727DF">
        <w:rPr>
          <w:spacing w:val="44"/>
        </w:rPr>
        <w:t xml:space="preserve"> </w:t>
      </w:r>
      <w:r w:rsidRPr="005727DF">
        <w:t>Counter</w:t>
      </w:r>
      <w:r w:rsidRPr="005727DF">
        <w:rPr>
          <w:spacing w:val="32"/>
          <w:w w:val="99"/>
        </w:rPr>
        <w:t xml:space="preserve"> </w:t>
      </w:r>
      <w:r w:rsidRPr="005727DF">
        <w:t>Terrorism</w:t>
      </w:r>
      <w:r w:rsidRPr="005727DF">
        <w:rPr>
          <w:spacing w:val="26"/>
        </w:rPr>
        <w:t xml:space="preserve"> </w:t>
      </w:r>
      <w:r w:rsidRPr="005727DF">
        <w:t>and</w:t>
      </w:r>
      <w:r w:rsidRPr="005727DF">
        <w:rPr>
          <w:spacing w:val="26"/>
        </w:rPr>
        <w:t xml:space="preserve"> </w:t>
      </w:r>
      <w:r w:rsidRPr="005727DF">
        <w:t>Security</w:t>
      </w:r>
      <w:r w:rsidRPr="005727DF">
        <w:rPr>
          <w:spacing w:val="26"/>
        </w:rPr>
        <w:t xml:space="preserve"> </w:t>
      </w:r>
      <w:r w:rsidRPr="005727DF">
        <w:t>Act</w:t>
      </w:r>
      <w:r w:rsidRPr="005727DF">
        <w:rPr>
          <w:spacing w:val="26"/>
        </w:rPr>
        <w:t xml:space="preserve"> </w:t>
      </w:r>
      <w:r w:rsidRPr="005727DF">
        <w:t>2015</w:t>
      </w:r>
      <w:r w:rsidRPr="005727DF">
        <w:rPr>
          <w:spacing w:val="27"/>
        </w:rPr>
        <w:t xml:space="preserve"> </w:t>
      </w:r>
      <w:r w:rsidRPr="005727DF">
        <w:rPr>
          <w:spacing w:val="-1"/>
        </w:rPr>
        <w:t>and</w:t>
      </w:r>
      <w:r w:rsidRPr="005727DF">
        <w:rPr>
          <w:spacing w:val="26"/>
        </w:rPr>
        <w:t xml:space="preserve"> </w:t>
      </w:r>
      <w:r w:rsidRPr="005727DF">
        <w:t>to</w:t>
      </w:r>
      <w:r w:rsidRPr="005727DF">
        <w:rPr>
          <w:spacing w:val="27"/>
        </w:rPr>
        <w:t xml:space="preserve"> </w:t>
      </w:r>
      <w:r w:rsidRPr="005727DF">
        <w:t>due</w:t>
      </w:r>
      <w:r w:rsidRPr="005727DF">
        <w:rPr>
          <w:spacing w:val="25"/>
        </w:rPr>
        <w:t xml:space="preserve"> </w:t>
      </w:r>
      <w:r w:rsidRPr="005727DF">
        <w:rPr>
          <w:spacing w:val="-1"/>
        </w:rPr>
        <w:t>regard</w:t>
      </w:r>
      <w:r w:rsidRPr="005727DF">
        <w:rPr>
          <w:spacing w:val="26"/>
        </w:rPr>
        <w:t xml:space="preserve"> </w:t>
      </w:r>
      <w:r w:rsidRPr="005727DF">
        <w:t>to</w:t>
      </w:r>
      <w:r w:rsidRPr="005727DF">
        <w:rPr>
          <w:spacing w:val="27"/>
        </w:rPr>
        <w:t xml:space="preserve"> </w:t>
      </w:r>
      <w:r w:rsidRPr="005727DF">
        <w:rPr>
          <w:spacing w:val="-1"/>
        </w:rPr>
        <w:t>the</w:t>
      </w:r>
      <w:r w:rsidRPr="005727DF">
        <w:rPr>
          <w:spacing w:val="26"/>
        </w:rPr>
        <w:t xml:space="preserve"> </w:t>
      </w:r>
      <w:r w:rsidRPr="005727DF">
        <w:t>need</w:t>
      </w:r>
      <w:r w:rsidRPr="005727DF">
        <w:rPr>
          <w:spacing w:val="27"/>
        </w:rPr>
        <w:t xml:space="preserve"> </w:t>
      </w:r>
      <w:r w:rsidRPr="005727DF">
        <w:t>to</w:t>
      </w:r>
      <w:r w:rsidRPr="005727DF">
        <w:rPr>
          <w:spacing w:val="25"/>
        </w:rPr>
        <w:t xml:space="preserve"> </w:t>
      </w:r>
      <w:r w:rsidRPr="005727DF">
        <w:rPr>
          <w:spacing w:val="-1"/>
        </w:rPr>
        <w:t>prevent</w:t>
      </w:r>
      <w:r w:rsidRPr="005727DF">
        <w:rPr>
          <w:spacing w:val="27"/>
        </w:rPr>
        <w:t xml:space="preserve"> </w:t>
      </w:r>
      <w:r w:rsidRPr="005727DF">
        <w:t>people</w:t>
      </w:r>
      <w:r w:rsidRPr="005727DF">
        <w:rPr>
          <w:spacing w:val="29"/>
          <w:w w:val="99"/>
        </w:rPr>
        <w:t xml:space="preserve"> </w:t>
      </w:r>
      <w:r w:rsidRPr="005727DF">
        <w:t>from</w:t>
      </w:r>
      <w:r w:rsidRPr="005727DF">
        <w:rPr>
          <w:spacing w:val="6"/>
        </w:rPr>
        <w:t xml:space="preserve"> </w:t>
      </w:r>
      <w:r w:rsidRPr="005727DF">
        <w:t>being</w:t>
      </w:r>
      <w:r w:rsidRPr="005727DF">
        <w:rPr>
          <w:spacing w:val="7"/>
        </w:rPr>
        <w:t xml:space="preserve"> </w:t>
      </w:r>
      <w:r w:rsidRPr="005727DF">
        <w:t>drawn</w:t>
      </w:r>
      <w:r w:rsidRPr="005727DF">
        <w:rPr>
          <w:spacing w:val="6"/>
        </w:rPr>
        <w:t xml:space="preserve"> </w:t>
      </w:r>
      <w:r w:rsidRPr="005727DF">
        <w:t>into</w:t>
      </w:r>
      <w:r w:rsidRPr="005727DF">
        <w:rPr>
          <w:spacing w:val="7"/>
        </w:rPr>
        <w:t xml:space="preserve"> </w:t>
      </w:r>
      <w:r w:rsidRPr="005727DF">
        <w:t>terrorism’.</w:t>
      </w:r>
      <w:r w:rsidRPr="005727DF">
        <w:rPr>
          <w:spacing w:val="6"/>
        </w:rPr>
        <w:t xml:space="preserve"> </w:t>
      </w:r>
      <w:r w:rsidRPr="005727DF">
        <w:t>The</w:t>
      </w:r>
      <w:r w:rsidRPr="005727DF">
        <w:rPr>
          <w:spacing w:val="7"/>
        </w:rPr>
        <w:t xml:space="preserve"> </w:t>
      </w:r>
      <w:r w:rsidRPr="005727DF">
        <w:t>Prevent</w:t>
      </w:r>
      <w:r w:rsidRPr="005727DF">
        <w:rPr>
          <w:spacing w:val="7"/>
        </w:rPr>
        <w:t xml:space="preserve"> </w:t>
      </w:r>
      <w:r w:rsidRPr="005727DF">
        <w:t>Statutory</w:t>
      </w:r>
      <w:r w:rsidRPr="005727DF">
        <w:rPr>
          <w:spacing w:val="6"/>
        </w:rPr>
        <w:t xml:space="preserve"> </w:t>
      </w:r>
      <w:r w:rsidRPr="005727DF">
        <w:t>Duty</w:t>
      </w:r>
      <w:r w:rsidRPr="005727DF">
        <w:rPr>
          <w:spacing w:val="7"/>
        </w:rPr>
        <w:t xml:space="preserve"> </w:t>
      </w:r>
      <w:r w:rsidRPr="005727DF">
        <w:t>for</w:t>
      </w:r>
      <w:r w:rsidRPr="005727DF">
        <w:rPr>
          <w:spacing w:val="6"/>
        </w:rPr>
        <w:t xml:space="preserve"> </w:t>
      </w:r>
      <w:r w:rsidRPr="005727DF">
        <w:t>England</w:t>
      </w:r>
      <w:r w:rsidRPr="005727DF">
        <w:rPr>
          <w:spacing w:val="6"/>
        </w:rPr>
        <w:t xml:space="preserve"> </w:t>
      </w:r>
      <w:r w:rsidRPr="005727DF">
        <w:t>and</w:t>
      </w:r>
      <w:r w:rsidRPr="005727DF">
        <w:rPr>
          <w:spacing w:val="7"/>
        </w:rPr>
        <w:t xml:space="preserve"> </w:t>
      </w:r>
      <w:r w:rsidRPr="005727DF">
        <w:t>Wales</w:t>
      </w:r>
      <w:r w:rsidRPr="005727DF">
        <w:rPr>
          <w:spacing w:val="22"/>
          <w:w w:val="99"/>
        </w:rPr>
        <w:t xml:space="preserve"> </w:t>
      </w:r>
      <w:r w:rsidRPr="005727DF">
        <w:t>states</w:t>
      </w:r>
      <w:r w:rsidRPr="005727DF">
        <w:rPr>
          <w:spacing w:val="-11"/>
        </w:rPr>
        <w:t xml:space="preserve"> </w:t>
      </w:r>
      <w:r w:rsidRPr="005727DF">
        <w:t>that:</w:t>
      </w:r>
    </w:p>
    <w:p w14:paraId="4F3059FA" w14:textId="77777777" w:rsidR="008D5E4F" w:rsidRDefault="008D5E4F" w:rsidP="00C2062B">
      <w:pPr>
        <w:pStyle w:val="BodyText"/>
        <w:widowControl w:val="0"/>
        <w:numPr>
          <w:ilvl w:val="0"/>
          <w:numId w:val="12"/>
        </w:numPr>
        <w:tabs>
          <w:tab w:val="left" w:pos="142"/>
        </w:tabs>
        <w:spacing w:before="0" w:after="0"/>
        <w:ind w:right="230"/>
        <w:rPr>
          <w:rFonts w:cs="Arial"/>
        </w:rPr>
      </w:pPr>
      <w:r w:rsidRPr="005727DF">
        <w:rPr>
          <w:rFonts w:cs="Arial"/>
        </w:rPr>
        <w:t>Delivery of Prevent is a legal requirement and applies to all areas, regardless of priority</w:t>
      </w:r>
    </w:p>
    <w:p w14:paraId="0CF8B1BA" w14:textId="77777777" w:rsidR="008D5E4F" w:rsidRDefault="008D5E4F" w:rsidP="00C2062B">
      <w:pPr>
        <w:pStyle w:val="BodyText"/>
        <w:widowControl w:val="0"/>
        <w:numPr>
          <w:ilvl w:val="0"/>
          <w:numId w:val="12"/>
        </w:numPr>
        <w:tabs>
          <w:tab w:val="left" w:pos="142"/>
        </w:tabs>
        <w:spacing w:before="0" w:after="0"/>
        <w:ind w:right="230"/>
        <w:rPr>
          <w:rFonts w:cs="Arial"/>
        </w:rPr>
      </w:pPr>
      <w:r>
        <w:rPr>
          <w:rFonts w:cs="Arial"/>
        </w:rPr>
        <w:t>The d</w:t>
      </w:r>
      <w:r w:rsidRPr="005727DF">
        <w:rPr>
          <w:rFonts w:cs="Arial"/>
        </w:rPr>
        <w:t>uty applies to bodies which have significant interaction with people who could be vulnerable to radicalisation</w:t>
      </w:r>
    </w:p>
    <w:p w14:paraId="3BC6E13F" w14:textId="77777777" w:rsidR="008D5E4F" w:rsidRPr="005727DF" w:rsidRDefault="008D5E4F" w:rsidP="00C2062B">
      <w:pPr>
        <w:pStyle w:val="BodyText"/>
        <w:widowControl w:val="0"/>
        <w:numPr>
          <w:ilvl w:val="0"/>
          <w:numId w:val="12"/>
        </w:numPr>
        <w:tabs>
          <w:tab w:val="left" w:pos="142"/>
        </w:tabs>
        <w:spacing w:before="0" w:after="0"/>
        <w:ind w:right="230"/>
        <w:rPr>
          <w:rFonts w:cs="Arial"/>
        </w:rPr>
      </w:pPr>
      <w:r w:rsidRPr="005727DF">
        <w:rPr>
          <w:rFonts w:cs="Arial"/>
        </w:rPr>
        <w:t>These include NHS bodies, schools, further and higher education providers, prisons and young offender institutions and providers of probation services.</w:t>
      </w:r>
    </w:p>
    <w:p w14:paraId="61BDF08B" w14:textId="16C2219D" w:rsidR="008D5E4F" w:rsidRDefault="008D5E4F" w:rsidP="00C2062B">
      <w:pPr>
        <w:pStyle w:val="Style1"/>
        <w:ind w:left="1134"/>
      </w:pPr>
      <w:r w:rsidRPr="005727DF">
        <w:t xml:space="preserve">This policy sets out how </w:t>
      </w:r>
      <w:r w:rsidR="00553B7A">
        <w:t xml:space="preserve">the ICB </w:t>
      </w:r>
      <w:r w:rsidRPr="005727DF">
        <w:t xml:space="preserve">will support, </w:t>
      </w:r>
      <w:proofErr w:type="gramStart"/>
      <w:r w:rsidRPr="005727DF">
        <w:t>manage</w:t>
      </w:r>
      <w:proofErr w:type="gramEnd"/>
      <w:r w:rsidRPr="005727DF">
        <w:t xml:space="preserve"> and deliver </w:t>
      </w:r>
      <w:r>
        <w:t xml:space="preserve">its </w:t>
      </w:r>
      <w:r w:rsidRPr="005727DF">
        <w:t xml:space="preserve">responsibilities </w:t>
      </w:r>
      <w:r>
        <w:t xml:space="preserve">in relation to this statutory duty. </w:t>
      </w:r>
      <w:r w:rsidR="00D469A2">
        <w:t>The ICB</w:t>
      </w:r>
      <w:r>
        <w:t xml:space="preserve"> </w:t>
      </w:r>
      <w:r w:rsidRPr="005727DF">
        <w:t>is</w:t>
      </w:r>
      <w:r w:rsidRPr="005727DF">
        <w:rPr>
          <w:spacing w:val="4"/>
        </w:rPr>
        <w:t xml:space="preserve"> </w:t>
      </w:r>
      <w:r w:rsidRPr="005727DF">
        <w:t>committed</w:t>
      </w:r>
      <w:r w:rsidRPr="005727DF">
        <w:rPr>
          <w:spacing w:val="4"/>
        </w:rPr>
        <w:t xml:space="preserve"> </w:t>
      </w:r>
      <w:r w:rsidRPr="005727DF">
        <w:t>to</w:t>
      </w:r>
      <w:r w:rsidRPr="005727DF">
        <w:rPr>
          <w:spacing w:val="4"/>
        </w:rPr>
        <w:t xml:space="preserve"> </w:t>
      </w:r>
      <w:r w:rsidRPr="005727DF">
        <w:t>ensuring</w:t>
      </w:r>
      <w:r w:rsidRPr="005727DF">
        <w:rPr>
          <w:spacing w:val="5"/>
        </w:rPr>
        <w:t xml:space="preserve"> </w:t>
      </w:r>
      <w:r w:rsidRPr="005727DF">
        <w:t>vulnerable</w:t>
      </w:r>
      <w:r w:rsidRPr="005727DF">
        <w:rPr>
          <w:spacing w:val="4"/>
        </w:rPr>
        <w:t xml:space="preserve"> </w:t>
      </w:r>
      <w:r w:rsidRPr="005727DF">
        <w:t>individuals</w:t>
      </w:r>
      <w:r w:rsidRPr="005727DF">
        <w:rPr>
          <w:spacing w:val="4"/>
        </w:rPr>
        <w:t xml:space="preserve"> </w:t>
      </w:r>
      <w:r w:rsidRPr="005727DF">
        <w:t>are</w:t>
      </w:r>
      <w:r w:rsidRPr="005727DF">
        <w:rPr>
          <w:spacing w:val="4"/>
        </w:rPr>
        <w:t xml:space="preserve"> </w:t>
      </w:r>
      <w:r w:rsidRPr="005727DF">
        <w:t>safeguarded</w:t>
      </w:r>
      <w:r w:rsidRPr="005727DF">
        <w:rPr>
          <w:spacing w:val="4"/>
        </w:rPr>
        <w:t xml:space="preserve"> </w:t>
      </w:r>
      <w:r w:rsidRPr="005727DF">
        <w:t>from</w:t>
      </w:r>
      <w:r w:rsidRPr="005727DF">
        <w:rPr>
          <w:spacing w:val="21"/>
          <w:w w:val="99"/>
        </w:rPr>
        <w:t xml:space="preserve"> </w:t>
      </w:r>
      <w:r w:rsidRPr="005727DF">
        <w:t>being</w:t>
      </w:r>
      <w:r w:rsidRPr="005727DF">
        <w:rPr>
          <w:spacing w:val="15"/>
        </w:rPr>
        <w:t xml:space="preserve"> </w:t>
      </w:r>
      <w:r w:rsidRPr="005727DF">
        <w:t>radicalised</w:t>
      </w:r>
      <w:r w:rsidRPr="005727DF">
        <w:rPr>
          <w:spacing w:val="16"/>
        </w:rPr>
        <w:t xml:space="preserve"> </w:t>
      </w:r>
      <w:r w:rsidRPr="005727DF">
        <w:t>into</w:t>
      </w:r>
      <w:r w:rsidRPr="005727DF">
        <w:rPr>
          <w:spacing w:val="14"/>
        </w:rPr>
        <w:t xml:space="preserve"> </w:t>
      </w:r>
      <w:r w:rsidRPr="005727DF">
        <w:t>violent</w:t>
      </w:r>
      <w:r w:rsidRPr="005727DF">
        <w:rPr>
          <w:spacing w:val="15"/>
        </w:rPr>
        <w:t xml:space="preserve"> </w:t>
      </w:r>
      <w:r w:rsidRPr="005727DF">
        <w:t>extremism</w:t>
      </w:r>
      <w:r w:rsidRPr="005727DF">
        <w:rPr>
          <w:spacing w:val="16"/>
        </w:rPr>
        <w:t xml:space="preserve"> </w:t>
      </w:r>
      <w:r w:rsidRPr="005727DF">
        <w:t>and</w:t>
      </w:r>
      <w:r w:rsidRPr="005727DF">
        <w:rPr>
          <w:spacing w:val="16"/>
        </w:rPr>
        <w:t xml:space="preserve"> </w:t>
      </w:r>
      <w:r w:rsidRPr="005727DF">
        <w:t>supporting</w:t>
      </w:r>
      <w:r w:rsidRPr="005727DF">
        <w:rPr>
          <w:spacing w:val="16"/>
        </w:rPr>
        <w:t xml:space="preserve"> </w:t>
      </w:r>
      <w:r w:rsidRPr="005727DF">
        <w:t>or</w:t>
      </w:r>
      <w:r w:rsidRPr="005727DF">
        <w:rPr>
          <w:spacing w:val="16"/>
        </w:rPr>
        <w:t xml:space="preserve"> </w:t>
      </w:r>
      <w:r w:rsidRPr="005727DF">
        <w:t>becoming</w:t>
      </w:r>
      <w:r w:rsidRPr="005727DF">
        <w:rPr>
          <w:spacing w:val="15"/>
        </w:rPr>
        <w:t xml:space="preserve"> </w:t>
      </w:r>
      <w:r w:rsidRPr="005727DF">
        <w:t>terrorists</w:t>
      </w:r>
      <w:r w:rsidRPr="005727DF">
        <w:rPr>
          <w:spacing w:val="21"/>
          <w:w w:val="99"/>
        </w:rPr>
        <w:t xml:space="preserve"> </w:t>
      </w:r>
      <w:r w:rsidRPr="005727DF">
        <w:t>themselves</w:t>
      </w:r>
      <w:r w:rsidRPr="005727DF">
        <w:rPr>
          <w:spacing w:val="-9"/>
        </w:rPr>
        <w:t xml:space="preserve"> </w:t>
      </w:r>
      <w:r w:rsidRPr="005727DF">
        <w:t>as</w:t>
      </w:r>
      <w:r w:rsidRPr="005727DF">
        <w:rPr>
          <w:spacing w:val="-8"/>
        </w:rPr>
        <w:t xml:space="preserve"> </w:t>
      </w:r>
      <w:r w:rsidRPr="005727DF">
        <w:t>part</w:t>
      </w:r>
      <w:r w:rsidRPr="005727DF">
        <w:rPr>
          <w:spacing w:val="-8"/>
        </w:rPr>
        <w:t xml:space="preserve"> </w:t>
      </w:r>
      <w:r w:rsidRPr="005727DF">
        <w:t>of</w:t>
      </w:r>
      <w:r w:rsidRPr="005727DF">
        <w:rPr>
          <w:spacing w:val="-8"/>
        </w:rPr>
        <w:t xml:space="preserve"> </w:t>
      </w:r>
      <w:r w:rsidRPr="005727DF">
        <w:rPr>
          <w:spacing w:val="-1"/>
        </w:rPr>
        <w:t>the</w:t>
      </w:r>
      <w:r w:rsidRPr="005727DF">
        <w:rPr>
          <w:spacing w:val="-8"/>
        </w:rPr>
        <w:t xml:space="preserve"> </w:t>
      </w:r>
      <w:r w:rsidRPr="005727DF">
        <w:t>Home</w:t>
      </w:r>
      <w:r w:rsidRPr="005727DF">
        <w:rPr>
          <w:spacing w:val="-8"/>
        </w:rPr>
        <w:t xml:space="preserve"> </w:t>
      </w:r>
      <w:r w:rsidRPr="005727DF">
        <w:t>Office</w:t>
      </w:r>
      <w:r w:rsidRPr="005727DF">
        <w:rPr>
          <w:spacing w:val="-8"/>
        </w:rPr>
        <w:t xml:space="preserve"> </w:t>
      </w:r>
      <w:r w:rsidRPr="005727DF">
        <w:t>Counter-Terrorism</w:t>
      </w:r>
      <w:r w:rsidRPr="005727DF">
        <w:rPr>
          <w:spacing w:val="-8"/>
        </w:rPr>
        <w:t xml:space="preserve"> </w:t>
      </w:r>
      <w:r w:rsidRPr="005727DF">
        <w:t>Strategy</w:t>
      </w:r>
      <w:r w:rsidRPr="005727DF">
        <w:rPr>
          <w:spacing w:val="-8"/>
        </w:rPr>
        <w:t xml:space="preserve"> </w:t>
      </w:r>
      <w:r w:rsidRPr="005727DF">
        <w:t>(CONTEST).</w:t>
      </w:r>
    </w:p>
    <w:p w14:paraId="03638267" w14:textId="77777777" w:rsidR="008D5E4F" w:rsidRPr="00FC40C5" w:rsidRDefault="008D5E4F" w:rsidP="00C2062B">
      <w:pPr>
        <w:pStyle w:val="Style1"/>
        <w:ind w:left="1134"/>
        <w:rPr>
          <w:i/>
        </w:rPr>
      </w:pPr>
      <w:r w:rsidRPr="00FC40C5">
        <w:t>Intelligence suggests that the United Kingdom (UK) is currently “highly likely” to be subject to a terrorist attack. This is not necessarily from foreign nationals, but also from individuals born and bred in the UK. The recent terror attacks in Westminster, Manchester Arena and Borough Market and the increased concern regarding right wing extremism have raised the profile of the radicalisation agenda within the UK and central government has reviewed the processes that are in place to help minimise the radicalisation of vulnerable people within the UK.</w:t>
      </w:r>
    </w:p>
    <w:p w14:paraId="3FD0ABE4" w14:textId="77777777" w:rsidR="008D5E4F" w:rsidRDefault="008D5E4F" w:rsidP="00C2062B">
      <w:pPr>
        <w:pStyle w:val="Style1"/>
        <w:ind w:left="1134"/>
      </w:pPr>
      <w:r w:rsidRPr="005727DF">
        <w:t>The</w:t>
      </w:r>
      <w:r w:rsidRPr="005727DF">
        <w:rPr>
          <w:spacing w:val="20"/>
        </w:rPr>
        <w:t xml:space="preserve"> </w:t>
      </w:r>
      <w:r w:rsidRPr="005727DF">
        <w:rPr>
          <w:spacing w:val="-1"/>
        </w:rPr>
        <w:t>strategy</w:t>
      </w:r>
      <w:r w:rsidRPr="005727DF">
        <w:rPr>
          <w:spacing w:val="21"/>
        </w:rPr>
        <w:t xml:space="preserve"> </w:t>
      </w:r>
      <w:r w:rsidRPr="005727DF">
        <w:t>is</w:t>
      </w:r>
      <w:r w:rsidRPr="005727DF">
        <w:rPr>
          <w:spacing w:val="20"/>
        </w:rPr>
        <w:t xml:space="preserve"> </w:t>
      </w:r>
      <w:r w:rsidRPr="005727DF">
        <w:t>primarily</w:t>
      </w:r>
      <w:r w:rsidRPr="005727DF">
        <w:rPr>
          <w:spacing w:val="21"/>
        </w:rPr>
        <w:t xml:space="preserve"> </w:t>
      </w:r>
      <w:r w:rsidRPr="005727DF">
        <w:rPr>
          <w:spacing w:val="-1"/>
        </w:rPr>
        <w:t>organised</w:t>
      </w:r>
      <w:r w:rsidRPr="005727DF">
        <w:rPr>
          <w:spacing w:val="21"/>
        </w:rPr>
        <w:t xml:space="preserve"> </w:t>
      </w:r>
      <w:r w:rsidRPr="005727DF">
        <w:t>around</w:t>
      </w:r>
      <w:r w:rsidRPr="005727DF">
        <w:rPr>
          <w:spacing w:val="20"/>
        </w:rPr>
        <w:t xml:space="preserve"> </w:t>
      </w:r>
      <w:r w:rsidRPr="005727DF">
        <w:rPr>
          <w:spacing w:val="-1"/>
        </w:rPr>
        <w:t>four</w:t>
      </w:r>
      <w:r w:rsidRPr="005727DF">
        <w:rPr>
          <w:spacing w:val="21"/>
        </w:rPr>
        <w:t xml:space="preserve"> </w:t>
      </w:r>
      <w:r w:rsidRPr="005727DF">
        <w:t>key</w:t>
      </w:r>
      <w:r w:rsidRPr="005727DF">
        <w:rPr>
          <w:spacing w:val="20"/>
        </w:rPr>
        <w:t xml:space="preserve"> </w:t>
      </w:r>
      <w:r w:rsidRPr="005727DF">
        <w:t>principles.</w:t>
      </w:r>
      <w:r w:rsidRPr="005727DF">
        <w:rPr>
          <w:spacing w:val="20"/>
        </w:rPr>
        <w:t xml:space="preserve"> </w:t>
      </w:r>
      <w:r w:rsidRPr="005727DF">
        <w:rPr>
          <w:spacing w:val="-1"/>
        </w:rPr>
        <w:t>Work</w:t>
      </w:r>
      <w:r w:rsidRPr="005727DF">
        <w:rPr>
          <w:spacing w:val="21"/>
        </w:rPr>
        <w:t xml:space="preserve"> </w:t>
      </w:r>
      <w:r w:rsidRPr="005727DF">
        <w:t>streams</w:t>
      </w:r>
      <w:r w:rsidRPr="005727DF">
        <w:rPr>
          <w:spacing w:val="43"/>
          <w:w w:val="99"/>
        </w:rPr>
        <w:t xml:space="preserve"> </w:t>
      </w:r>
      <w:r w:rsidRPr="005727DF">
        <w:t>contribute</w:t>
      </w:r>
      <w:r w:rsidRPr="005727DF">
        <w:rPr>
          <w:spacing w:val="-7"/>
        </w:rPr>
        <w:t xml:space="preserve"> </w:t>
      </w:r>
      <w:r w:rsidRPr="005727DF">
        <w:t>to</w:t>
      </w:r>
      <w:r w:rsidRPr="005727DF">
        <w:rPr>
          <w:spacing w:val="-8"/>
        </w:rPr>
        <w:t xml:space="preserve"> </w:t>
      </w:r>
      <w:r w:rsidRPr="005727DF">
        <w:t>four</w:t>
      </w:r>
      <w:r w:rsidRPr="005727DF">
        <w:rPr>
          <w:spacing w:val="-7"/>
        </w:rPr>
        <w:t xml:space="preserve"> </w:t>
      </w:r>
      <w:r w:rsidRPr="005727DF">
        <w:t>programmes,</w:t>
      </w:r>
      <w:r w:rsidRPr="005727DF">
        <w:rPr>
          <w:spacing w:val="-7"/>
        </w:rPr>
        <w:t xml:space="preserve"> </w:t>
      </w:r>
      <w:r w:rsidRPr="005727DF">
        <w:t>each</w:t>
      </w:r>
      <w:r w:rsidRPr="005727DF">
        <w:rPr>
          <w:spacing w:val="-7"/>
        </w:rPr>
        <w:t xml:space="preserve"> </w:t>
      </w:r>
      <w:r w:rsidRPr="005727DF">
        <w:t>with</w:t>
      </w:r>
      <w:r w:rsidRPr="005727DF">
        <w:rPr>
          <w:spacing w:val="-7"/>
        </w:rPr>
        <w:t xml:space="preserve"> </w:t>
      </w:r>
      <w:r w:rsidRPr="005727DF">
        <w:t>a</w:t>
      </w:r>
      <w:r w:rsidRPr="005727DF">
        <w:rPr>
          <w:spacing w:val="-6"/>
        </w:rPr>
        <w:t xml:space="preserve"> </w:t>
      </w:r>
      <w:r w:rsidRPr="005727DF">
        <w:t>specific</w:t>
      </w:r>
      <w:r w:rsidRPr="005727DF">
        <w:rPr>
          <w:spacing w:val="-7"/>
        </w:rPr>
        <w:t xml:space="preserve"> </w:t>
      </w:r>
      <w:r w:rsidRPr="005727DF">
        <w:t>objective:</w:t>
      </w:r>
    </w:p>
    <w:p w14:paraId="435F1129" w14:textId="14330F7C" w:rsidR="008D5E4F" w:rsidRDefault="008D5E4F" w:rsidP="00C2062B">
      <w:pPr>
        <w:pStyle w:val="BodyText"/>
        <w:widowControl w:val="0"/>
        <w:numPr>
          <w:ilvl w:val="0"/>
          <w:numId w:val="13"/>
        </w:numPr>
        <w:spacing w:before="0" w:after="0"/>
        <w:ind w:right="232" w:hanging="306"/>
        <w:rPr>
          <w:rFonts w:cs="Arial"/>
        </w:rPr>
      </w:pPr>
      <w:r w:rsidRPr="00FC40C5">
        <w:rPr>
          <w:rFonts w:cs="Arial"/>
        </w:rPr>
        <w:t>Pursue</w:t>
      </w:r>
      <w:r w:rsidRPr="00FC40C5">
        <w:rPr>
          <w:rFonts w:cs="Arial"/>
          <w:spacing w:val="-6"/>
        </w:rPr>
        <w:t xml:space="preserve"> </w:t>
      </w:r>
      <w:r w:rsidRPr="00FC40C5">
        <w:rPr>
          <w:rFonts w:cs="Arial"/>
        </w:rPr>
        <w:t>-</w:t>
      </w:r>
      <w:r w:rsidRPr="00FC40C5">
        <w:rPr>
          <w:rFonts w:cs="Arial"/>
          <w:spacing w:val="-6"/>
        </w:rPr>
        <w:t xml:space="preserve"> </w:t>
      </w:r>
      <w:r w:rsidRPr="00FC40C5">
        <w:rPr>
          <w:rFonts w:cs="Arial"/>
        </w:rPr>
        <w:t>to</w:t>
      </w:r>
      <w:r w:rsidRPr="00FC40C5">
        <w:rPr>
          <w:rFonts w:cs="Arial"/>
          <w:spacing w:val="-5"/>
        </w:rPr>
        <w:t xml:space="preserve"> </w:t>
      </w:r>
      <w:r w:rsidRPr="00FC40C5">
        <w:rPr>
          <w:rFonts w:cs="Arial"/>
        </w:rPr>
        <w:t>stop</w:t>
      </w:r>
      <w:r w:rsidRPr="00FC40C5">
        <w:rPr>
          <w:rFonts w:cs="Arial"/>
          <w:spacing w:val="-6"/>
        </w:rPr>
        <w:t xml:space="preserve"> </w:t>
      </w:r>
      <w:r w:rsidRPr="00FC40C5">
        <w:rPr>
          <w:rFonts w:cs="Arial"/>
        </w:rPr>
        <w:t>terrorist</w:t>
      </w:r>
      <w:r w:rsidRPr="00FC40C5">
        <w:rPr>
          <w:rFonts w:cs="Arial"/>
          <w:spacing w:val="-6"/>
        </w:rPr>
        <w:t xml:space="preserve"> </w:t>
      </w:r>
      <w:r w:rsidRPr="00FC40C5">
        <w:rPr>
          <w:rFonts w:cs="Arial"/>
        </w:rPr>
        <w:t>attacks</w:t>
      </w:r>
      <w:r w:rsidR="00515097">
        <w:rPr>
          <w:rFonts w:cs="Arial"/>
        </w:rPr>
        <w:t>.</w:t>
      </w:r>
    </w:p>
    <w:p w14:paraId="312228BD" w14:textId="05E5D467" w:rsidR="008D5E4F" w:rsidRPr="00FC40C5" w:rsidRDefault="008D5E4F" w:rsidP="00C2062B">
      <w:pPr>
        <w:pStyle w:val="BodyText"/>
        <w:widowControl w:val="0"/>
        <w:numPr>
          <w:ilvl w:val="0"/>
          <w:numId w:val="13"/>
        </w:numPr>
        <w:spacing w:before="0" w:after="0"/>
        <w:ind w:right="232" w:hanging="306"/>
        <w:rPr>
          <w:rFonts w:cs="Arial"/>
        </w:rPr>
      </w:pPr>
      <w:r w:rsidRPr="00FC40C5">
        <w:rPr>
          <w:rFonts w:cs="Arial"/>
          <w:bCs/>
        </w:rPr>
        <w:t>Prevent</w:t>
      </w:r>
      <w:r w:rsidRPr="00FC40C5">
        <w:rPr>
          <w:rFonts w:cs="Arial"/>
          <w:bCs/>
          <w:spacing w:val="-7"/>
        </w:rPr>
        <w:t xml:space="preserve"> </w:t>
      </w:r>
      <w:r w:rsidRPr="00FC40C5">
        <w:rPr>
          <w:rFonts w:cs="Arial"/>
          <w:bCs/>
        </w:rPr>
        <w:t>-</w:t>
      </w:r>
      <w:r w:rsidRPr="00FC40C5">
        <w:rPr>
          <w:rFonts w:cs="Arial"/>
          <w:spacing w:val="-7"/>
        </w:rPr>
        <w:t xml:space="preserve"> </w:t>
      </w:r>
      <w:r w:rsidRPr="00FC40C5">
        <w:rPr>
          <w:rFonts w:cs="Arial"/>
        </w:rPr>
        <w:t>to</w:t>
      </w:r>
      <w:r w:rsidRPr="00FC40C5">
        <w:rPr>
          <w:rFonts w:cs="Arial"/>
          <w:spacing w:val="-7"/>
        </w:rPr>
        <w:t xml:space="preserve"> </w:t>
      </w:r>
      <w:r w:rsidRPr="00FC40C5">
        <w:rPr>
          <w:rFonts w:cs="Arial"/>
        </w:rPr>
        <w:t>stop</w:t>
      </w:r>
      <w:r w:rsidRPr="00FC40C5">
        <w:rPr>
          <w:rFonts w:cs="Arial"/>
          <w:spacing w:val="-6"/>
        </w:rPr>
        <w:t xml:space="preserve"> </w:t>
      </w:r>
      <w:r w:rsidRPr="00FC40C5">
        <w:rPr>
          <w:rFonts w:cs="Arial"/>
        </w:rPr>
        <w:t>people</w:t>
      </w:r>
      <w:r w:rsidRPr="00FC40C5">
        <w:rPr>
          <w:rFonts w:cs="Arial"/>
          <w:spacing w:val="-8"/>
        </w:rPr>
        <w:t xml:space="preserve"> </w:t>
      </w:r>
      <w:r w:rsidRPr="00FC40C5">
        <w:rPr>
          <w:rFonts w:cs="Arial"/>
        </w:rPr>
        <w:t>becoming</w:t>
      </w:r>
      <w:r w:rsidRPr="00FC40C5">
        <w:rPr>
          <w:rFonts w:cs="Arial"/>
          <w:spacing w:val="-7"/>
        </w:rPr>
        <w:t xml:space="preserve"> </w:t>
      </w:r>
      <w:r w:rsidRPr="00FC40C5">
        <w:rPr>
          <w:rFonts w:cs="Arial"/>
        </w:rPr>
        <w:t>terrorists</w:t>
      </w:r>
      <w:r w:rsidRPr="00FC40C5">
        <w:rPr>
          <w:rFonts w:cs="Arial"/>
          <w:spacing w:val="-6"/>
        </w:rPr>
        <w:t xml:space="preserve"> </w:t>
      </w:r>
      <w:r w:rsidRPr="00FC40C5">
        <w:rPr>
          <w:rFonts w:cs="Arial"/>
        </w:rPr>
        <w:t>or</w:t>
      </w:r>
      <w:r w:rsidRPr="00FC40C5">
        <w:rPr>
          <w:rFonts w:cs="Arial"/>
          <w:spacing w:val="-7"/>
        </w:rPr>
        <w:t xml:space="preserve"> </w:t>
      </w:r>
      <w:r w:rsidRPr="00FC40C5">
        <w:rPr>
          <w:rFonts w:cs="Arial"/>
        </w:rPr>
        <w:t>supporting</w:t>
      </w:r>
      <w:r w:rsidRPr="00FC40C5">
        <w:rPr>
          <w:rFonts w:cs="Arial"/>
          <w:spacing w:val="-7"/>
        </w:rPr>
        <w:t xml:space="preserve"> </w:t>
      </w:r>
      <w:r w:rsidRPr="00FC40C5">
        <w:rPr>
          <w:rFonts w:cs="Arial"/>
          <w:spacing w:val="-1"/>
        </w:rPr>
        <w:t>terrorism</w:t>
      </w:r>
      <w:r w:rsidR="00515097">
        <w:rPr>
          <w:rFonts w:cs="Arial"/>
          <w:spacing w:val="-1"/>
        </w:rPr>
        <w:t>.</w:t>
      </w:r>
    </w:p>
    <w:p w14:paraId="0681A225" w14:textId="5D122A6A" w:rsidR="008D5E4F" w:rsidRDefault="008D5E4F" w:rsidP="00C2062B">
      <w:pPr>
        <w:pStyle w:val="BodyText"/>
        <w:widowControl w:val="0"/>
        <w:numPr>
          <w:ilvl w:val="0"/>
          <w:numId w:val="13"/>
        </w:numPr>
        <w:spacing w:before="0" w:after="0"/>
        <w:ind w:right="232" w:hanging="306"/>
        <w:rPr>
          <w:rFonts w:cs="Arial"/>
        </w:rPr>
      </w:pPr>
      <w:r w:rsidRPr="00FC40C5">
        <w:rPr>
          <w:rFonts w:cs="Arial"/>
        </w:rPr>
        <w:t>Protect</w:t>
      </w:r>
      <w:r w:rsidRPr="00FC40C5">
        <w:rPr>
          <w:rFonts w:cs="Arial"/>
          <w:spacing w:val="-7"/>
        </w:rPr>
        <w:t xml:space="preserve"> </w:t>
      </w:r>
      <w:r w:rsidRPr="00FC40C5">
        <w:rPr>
          <w:rFonts w:cs="Arial"/>
        </w:rPr>
        <w:t>-</w:t>
      </w:r>
      <w:r w:rsidRPr="00FC40C5">
        <w:rPr>
          <w:rFonts w:cs="Arial"/>
          <w:spacing w:val="-6"/>
        </w:rPr>
        <w:t xml:space="preserve"> </w:t>
      </w:r>
      <w:r w:rsidRPr="00FC40C5">
        <w:rPr>
          <w:rFonts w:cs="Arial"/>
        </w:rPr>
        <w:t>to</w:t>
      </w:r>
      <w:r w:rsidRPr="00FC40C5">
        <w:rPr>
          <w:rFonts w:cs="Arial"/>
          <w:spacing w:val="-6"/>
        </w:rPr>
        <w:t xml:space="preserve"> </w:t>
      </w:r>
      <w:r w:rsidRPr="00FC40C5">
        <w:rPr>
          <w:rFonts w:cs="Arial"/>
        </w:rPr>
        <w:t>strengthen</w:t>
      </w:r>
      <w:r w:rsidRPr="00FC40C5">
        <w:rPr>
          <w:rFonts w:cs="Arial"/>
          <w:spacing w:val="-6"/>
        </w:rPr>
        <w:t xml:space="preserve"> </w:t>
      </w:r>
      <w:r w:rsidRPr="00FC40C5">
        <w:rPr>
          <w:rFonts w:cs="Arial"/>
          <w:spacing w:val="-1"/>
        </w:rPr>
        <w:t>our</w:t>
      </w:r>
      <w:r w:rsidRPr="00FC40C5">
        <w:rPr>
          <w:rFonts w:cs="Arial"/>
          <w:spacing w:val="-6"/>
        </w:rPr>
        <w:t xml:space="preserve"> </w:t>
      </w:r>
      <w:r w:rsidRPr="00FC40C5">
        <w:rPr>
          <w:rFonts w:cs="Arial"/>
        </w:rPr>
        <w:t>protection</w:t>
      </w:r>
      <w:r w:rsidRPr="00FC40C5">
        <w:rPr>
          <w:rFonts w:cs="Arial"/>
          <w:spacing w:val="-7"/>
        </w:rPr>
        <w:t xml:space="preserve"> </w:t>
      </w:r>
      <w:r w:rsidRPr="00FC40C5">
        <w:rPr>
          <w:rFonts w:cs="Arial"/>
        </w:rPr>
        <w:t>against</w:t>
      </w:r>
      <w:r w:rsidRPr="00FC40C5">
        <w:rPr>
          <w:rFonts w:cs="Arial"/>
          <w:spacing w:val="-6"/>
        </w:rPr>
        <w:t xml:space="preserve"> </w:t>
      </w:r>
      <w:r w:rsidRPr="00FC40C5">
        <w:rPr>
          <w:rFonts w:cs="Arial"/>
        </w:rPr>
        <w:t>a</w:t>
      </w:r>
      <w:r w:rsidRPr="00FC40C5">
        <w:rPr>
          <w:rFonts w:cs="Arial"/>
          <w:spacing w:val="-6"/>
        </w:rPr>
        <w:t xml:space="preserve"> </w:t>
      </w:r>
      <w:r w:rsidRPr="00FC40C5">
        <w:rPr>
          <w:rFonts w:cs="Arial"/>
          <w:spacing w:val="-1"/>
        </w:rPr>
        <w:t>terrorist</w:t>
      </w:r>
      <w:r w:rsidRPr="00FC40C5">
        <w:rPr>
          <w:rFonts w:cs="Arial"/>
          <w:spacing w:val="-6"/>
        </w:rPr>
        <w:t xml:space="preserve"> </w:t>
      </w:r>
      <w:r w:rsidRPr="00FC40C5">
        <w:rPr>
          <w:rFonts w:cs="Arial"/>
        </w:rPr>
        <w:t>attack</w:t>
      </w:r>
      <w:r w:rsidR="00515097">
        <w:rPr>
          <w:rFonts w:cs="Arial"/>
        </w:rPr>
        <w:t>.</w:t>
      </w:r>
    </w:p>
    <w:p w14:paraId="363623DC" w14:textId="1CF20ACA" w:rsidR="008D5E4F" w:rsidRPr="00FC40C5" w:rsidRDefault="008D5E4F" w:rsidP="00C2062B">
      <w:pPr>
        <w:pStyle w:val="BodyText"/>
        <w:widowControl w:val="0"/>
        <w:numPr>
          <w:ilvl w:val="0"/>
          <w:numId w:val="13"/>
        </w:numPr>
        <w:spacing w:before="0" w:after="0"/>
        <w:ind w:right="232" w:hanging="306"/>
        <w:rPr>
          <w:rFonts w:cs="Arial"/>
        </w:rPr>
      </w:pPr>
      <w:r w:rsidRPr="00FC40C5">
        <w:rPr>
          <w:rFonts w:cs="Arial"/>
        </w:rPr>
        <w:t>Prepare</w:t>
      </w:r>
      <w:r w:rsidRPr="00FC40C5">
        <w:rPr>
          <w:rFonts w:cs="Arial"/>
          <w:spacing w:val="-5"/>
        </w:rPr>
        <w:t xml:space="preserve"> </w:t>
      </w:r>
      <w:r w:rsidRPr="00FC40C5">
        <w:rPr>
          <w:rFonts w:cs="Arial"/>
        </w:rPr>
        <w:t>-</w:t>
      </w:r>
      <w:r w:rsidRPr="00FC40C5">
        <w:rPr>
          <w:rFonts w:cs="Arial"/>
          <w:spacing w:val="-5"/>
        </w:rPr>
        <w:t xml:space="preserve"> </w:t>
      </w:r>
      <w:r w:rsidRPr="00FC40C5">
        <w:rPr>
          <w:rFonts w:cs="Arial"/>
        </w:rPr>
        <w:t>to</w:t>
      </w:r>
      <w:r w:rsidRPr="00FC40C5">
        <w:rPr>
          <w:rFonts w:cs="Arial"/>
          <w:spacing w:val="-5"/>
        </w:rPr>
        <w:t xml:space="preserve"> </w:t>
      </w:r>
      <w:r w:rsidRPr="00FC40C5">
        <w:rPr>
          <w:rFonts w:cs="Arial"/>
        </w:rPr>
        <w:t>mitigate</w:t>
      </w:r>
      <w:r w:rsidRPr="00FC40C5">
        <w:rPr>
          <w:rFonts w:cs="Arial"/>
          <w:spacing w:val="-5"/>
        </w:rPr>
        <w:t xml:space="preserve"> </w:t>
      </w:r>
      <w:r w:rsidRPr="00FC40C5">
        <w:rPr>
          <w:rFonts w:cs="Arial"/>
        </w:rPr>
        <w:t>the</w:t>
      </w:r>
      <w:r w:rsidRPr="00FC40C5">
        <w:rPr>
          <w:rFonts w:cs="Arial"/>
          <w:spacing w:val="-5"/>
        </w:rPr>
        <w:t xml:space="preserve"> </w:t>
      </w:r>
      <w:r w:rsidRPr="00FC40C5">
        <w:rPr>
          <w:rFonts w:cs="Arial"/>
        </w:rPr>
        <w:t>impact</w:t>
      </w:r>
      <w:r w:rsidRPr="00FC40C5">
        <w:rPr>
          <w:rFonts w:cs="Arial"/>
          <w:spacing w:val="-5"/>
        </w:rPr>
        <w:t xml:space="preserve"> </w:t>
      </w:r>
      <w:r w:rsidRPr="00FC40C5">
        <w:rPr>
          <w:rFonts w:cs="Arial"/>
        </w:rPr>
        <w:t>of</w:t>
      </w:r>
      <w:r w:rsidRPr="00FC40C5">
        <w:rPr>
          <w:rFonts w:cs="Arial"/>
          <w:spacing w:val="-5"/>
        </w:rPr>
        <w:t xml:space="preserve"> </w:t>
      </w:r>
      <w:r w:rsidRPr="00FC40C5">
        <w:rPr>
          <w:rFonts w:cs="Arial"/>
        </w:rPr>
        <w:t>a</w:t>
      </w:r>
      <w:r w:rsidRPr="00FC40C5">
        <w:rPr>
          <w:rFonts w:cs="Arial"/>
          <w:spacing w:val="-5"/>
        </w:rPr>
        <w:t xml:space="preserve"> </w:t>
      </w:r>
      <w:r w:rsidRPr="00FC40C5">
        <w:rPr>
          <w:rFonts w:cs="Arial"/>
        </w:rPr>
        <w:t>terrorist</w:t>
      </w:r>
      <w:r w:rsidRPr="00FC40C5">
        <w:rPr>
          <w:rFonts w:cs="Arial"/>
          <w:spacing w:val="-4"/>
        </w:rPr>
        <w:t xml:space="preserve"> </w:t>
      </w:r>
      <w:r w:rsidRPr="00FC40C5">
        <w:rPr>
          <w:rFonts w:cs="Arial"/>
        </w:rPr>
        <w:t>attack</w:t>
      </w:r>
      <w:r w:rsidR="00515097">
        <w:rPr>
          <w:rFonts w:cs="Arial"/>
        </w:rPr>
        <w:t>.</w:t>
      </w:r>
    </w:p>
    <w:p w14:paraId="6931006C" w14:textId="77777777" w:rsidR="008D5E4F" w:rsidRDefault="008D5E4F" w:rsidP="00C2062B">
      <w:pPr>
        <w:pStyle w:val="Style1"/>
        <w:ind w:left="1134"/>
      </w:pPr>
      <w:r w:rsidRPr="005727DF">
        <w:t>The Prevent Strategy is part of the Government’s counter-terrorism strategy CONTEST and aims to stop people becoming terrorists or supporting terrorism. Prevent focuses on all forms of terrorism and operates in a pre-criminal space, providing support and re-direction to vulnerable individuals at risk of being groomed into terrorist activity before any crimes are committed. Radicalisation is comparable to other forms of exploitation; it is therefore a safeguarding issue that staff working in the health sector must be aware of.</w:t>
      </w:r>
    </w:p>
    <w:p w14:paraId="0920076E" w14:textId="77777777" w:rsidR="008D5E4F" w:rsidRPr="00FC40C5" w:rsidRDefault="008D5E4F" w:rsidP="00C2062B">
      <w:pPr>
        <w:pStyle w:val="Style1"/>
        <w:ind w:left="1134"/>
        <w:rPr>
          <w:lang w:val="en-US"/>
        </w:rPr>
      </w:pPr>
      <w:r w:rsidRPr="00FC40C5">
        <w:rPr>
          <w:lang w:val="en-US"/>
        </w:rPr>
        <w:t xml:space="preserve">Channel is an important aspect of Prevent. The Channel </w:t>
      </w:r>
      <w:proofErr w:type="spellStart"/>
      <w:r w:rsidRPr="00FC40C5">
        <w:rPr>
          <w:lang w:val="en-US"/>
        </w:rPr>
        <w:t>programme</w:t>
      </w:r>
      <w:proofErr w:type="spellEnd"/>
      <w:r w:rsidRPr="00FC40C5">
        <w:rPr>
          <w:lang w:val="en-US"/>
        </w:rPr>
        <w:t xml:space="preserve"> provides support across the country to those who may be vulnerable to being drawn into terrorism. The overall aim of the Channel </w:t>
      </w:r>
      <w:proofErr w:type="spellStart"/>
      <w:r w:rsidRPr="00FC40C5">
        <w:rPr>
          <w:lang w:val="en-US"/>
        </w:rPr>
        <w:t>programme</w:t>
      </w:r>
      <w:proofErr w:type="spellEnd"/>
      <w:r w:rsidRPr="00FC40C5">
        <w:rPr>
          <w:lang w:val="en-US"/>
        </w:rPr>
        <w:t xml:space="preserve"> is early intervention and diverting people away from the risk they may face. The Channel Duty Guidance was additionally issued under the Counter Terrorism and Security Act 2015 to support members and key partners of local panels involved in the Channel process. </w:t>
      </w:r>
    </w:p>
    <w:p w14:paraId="6EA46454" w14:textId="25E06301" w:rsidR="00F913CD" w:rsidRPr="0015255F" w:rsidRDefault="00F913CD" w:rsidP="00C2062B">
      <w:pPr>
        <w:pStyle w:val="Heading2"/>
      </w:pPr>
      <w:bookmarkStart w:id="6" w:name="_Toc110852477"/>
      <w:r w:rsidRPr="0015255F">
        <w:t>Purpose</w:t>
      </w:r>
      <w:bookmarkEnd w:id="5"/>
      <w:bookmarkEnd w:id="6"/>
    </w:p>
    <w:p w14:paraId="2A2B87BB" w14:textId="5EA83AEC" w:rsidR="00F46746" w:rsidRPr="00284D1B" w:rsidRDefault="00F46746" w:rsidP="00C2062B">
      <w:pPr>
        <w:pStyle w:val="Heading3"/>
        <w:ind w:left="1134"/>
      </w:pPr>
      <w:bookmarkStart w:id="7" w:name="_Toc98140844"/>
      <w:bookmarkStart w:id="8" w:name="_Toc110852478"/>
      <w:r w:rsidRPr="00284D1B">
        <w:t>Aims</w:t>
      </w:r>
      <w:bookmarkEnd w:id="7"/>
      <w:bookmarkEnd w:id="8"/>
    </w:p>
    <w:p w14:paraId="3D585726" w14:textId="60CAB31F" w:rsidR="008A64F1" w:rsidRPr="005727DF" w:rsidRDefault="008A64F1" w:rsidP="00C2062B">
      <w:pPr>
        <w:pStyle w:val="Style2"/>
        <w:ind w:left="1134"/>
      </w:pPr>
      <w:r w:rsidRPr="005727DF">
        <w:t xml:space="preserve">This policy aims to make clear the duties of </w:t>
      </w:r>
      <w:r w:rsidR="00D469A2">
        <w:t xml:space="preserve">ICB </w:t>
      </w:r>
      <w:r w:rsidRPr="005727DF">
        <w:t>employees</w:t>
      </w:r>
      <w:r>
        <w:t xml:space="preserve"> </w:t>
      </w:r>
      <w:r w:rsidRPr="005727DF">
        <w:t xml:space="preserve">in relation to Prevent and should be read in conjunction with the Safeguarding Policy and Southend Essex and Thurrock (SET) Safeguarding </w:t>
      </w:r>
      <w:r>
        <w:t xml:space="preserve">and </w:t>
      </w:r>
      <w:r w:rsidRPr="005727DF">
        <w:t>Child</w:t>
      </w:r>
      <w:r>
        <w:t xml:space="preserve"> Protection</w:t>
      </w:r>
      <w:r w:rsidRPr="005727DF">
        <w:t xml:space="preserve"> </w:t>
      </w:r>
      <w:r>
        <w:t xml:space="preserve">Procedures </w:t>
      </w:r>
      <w:r w:rsidRPr="005727DF">
        <w:t>and SET Safeguarding Adult</w:t>
      </w:r>
      <w:r>
        <w:t xml:space="preserve"> Guidance.</w:t>
      </w:r>
    </w:p>
    <w:p w14:paraId="464F8255" w14:textId="77777777" w:rsidR="00774655" w:rsidRPr="00774655" w:rsidRDefault="00774655" w:rsidP="00C2062B">
      <w:pPr>
        <w:pStyle w:val="Style2"/>
        <w:numPr>
          <w:ilvl w:val="0"/>
          <w:numId w:val="0"/>
        </w:numPr>
        <w:ind w:left="1134"/>
      </w:pPr>
    </w:p>
    <w:p w14:paraId="7C2CC458" w14:textId="6979BF3C" w:rsidR="008A64F1" w:rsidRDefault="008A64F1" w:rsidP="00C2062B">
      <w:pPr>
        <w:pStyle w:val="Style2"/>
        <w:ind w:left="1134"/>
      </w:pPr>
      <w:r w:rsidRPr="005727DF">
        <w:rPr>
          <w:color w:val="auto"/>
        </w:rPr>
        <w:t>This policy is aimed at safeguarding both adults and children from being drawn into terrorist related activity</w:t>
      </w:r>
      <w:r>
        <w:rPr>
          <w:color w:val="auto"/>
        </w:rPr>
        <w:t xml:space="preserve"> and</w:t>
      </w:r>
      <w:r w:rsidRPr="005727DF">
        <w:t xml:space="preserve"> to </w:t>
      </w:r>
      <w:r>
        <w:t>foster</w:t>
      </w:r>
      <w:r w:rsidRPr="005727DF">
        <w:t xml:space="preserve"> a consistent and proportionate app</w:t>
      </w:r>
      <w:r>
        <w:t>ro</w:t>
      </w:r>
      <w:r w:rsidRPr="005727DF">
        <w:t xml:space="preserve">ach to raising awareness of Prevent as part of the wider safeguarding </w:t>
      </w:r>
      <w:r>
        <w:t xml:space="preserve">duties of </w:t>
      </w:r>
      <w:r w:rsidR="00D469A2">
        <w:t>the ICB</w:t>
      </w:r>
      <w:r>
        <w:t>.</w:t>
      </w:r>
    </w:p>
    <w:p w14:paraId="039250B6" w14:textId="1D6F5C30" w:rsidR="00315494" w:rsidRPr="00315494" w:rsidRDefault="00315494" w:rsidP="00C2062B">
      <w:pPr>
        <w:pStyle w:val="Heading3"/>
        <w:ind w:left="1134"/>
      </w:pPr>
      <w:bookmarkStart w:id="9" w:name="_Toc98140845"/>
      <w:bookmarkStart w:id="10" w:name="_Toc110852479"/>
      <w:r>
        <w:t>Purpose</w:t>
      </w:r>
      <w:bookmarkEnd w:id="9"/>
      <w:bookmarkEnd w:id="10"/>
    </w:p>
    <w:p w14:paraId="1E03EF89" w14:textId="7346F0D7" w:rsidR="008A64F1" w:rsidRDefault="008A64F1" w:rsidP="00C2062B">
      <w:pPr>
        <w:pStyle w:val="Style2"/>
        <w:ind w:left="1134"/>
        <w:rPr>
          <w:lang w:val="en-US"/>
        </w:rPr>
      </w:pPr>
      <w:r w:rsidRPr="00856EA4">
        <w:rPr>
          <w:lang w:val="en-US"/>
        </w:rPr>
        <w:t xml:space="preserve">The purpose of Prevent is to safeguard vulnerable individuals from becoming terrorists or supporting terrorism, by engaging with people vulnerable to </w:t>
      </w:r>
      <w:proofErr w:type="spellStart"/>
      <w:r w:rsidRPr="00856EA4">
        <w:rPr>
          <w:lang w:val="en-US"/>
        </w:rPr>
        <w:t>radicalisation</w:t>
      </w:r>
      <w:proofErr w:type="spellEnd"/>
      <w:r w:rsidRPr="00856EA4">
        <w:rPr>
          <w:lang w:val="en-US"/>
        </w:rPr>
        <w:t xml:space="preserve"> and protecting them from being targeted by terrorist recruiters. Prevent uses a similar approach to public health models, which focus on prevention rather than treatment. Focusing solely on confronting ideologies alone will not undermine terrorism. Prevent provides holistic support to address some of the personal and social conditions which make vulnerable people receptive to </w:t>
      </w:r>
      <w:proofErr w:type="spellStart"/>
      <w:r w:rsidRPr="00856EA4">
        <w:rPr>
          <w:lang w:val="en-US"/>
        </w:rPr>
        <w:t>radicalisation</w:t>
      </w:r>
      <w:proofErr w:type="spellEnd"/>
      <w:r w:rsidRPr="00856EA4">
        <w:rPr>
          <w:lang w:val="en-US"/>
        </w:rPr>
        <w:t xml:space="preserve">. </w:t>
      </w:r>
    </w:p>
    <w:p w14:paraId="063DC1F6" w14:textId="77777777" w:rsidR="00774655" w:rsidRDefault="00774655" w:rsidP="00C2062B">
      <w:pPr>
        <w:pStyle w:val="Style2"/>
        <w:numPr>
          <w:ilvl w:val="0"/>
          <w:numId w:val="0"/>
        </w:numPr>
        <w:ind w:left="1134"/>
        <w:rPr>
          <w:lang w:val="en-US"/>
        </w:rPr>
      </w:pPr>
    </w:p>
    <w:p w14:paraId="2FBEE9B0" w14:textId="1DFCCC7E" w:rsidR="008A64F1" w:rsidRDefault="008A64F1" w:rsidP="00C2062B">
      <w:pPr>
        <w:pStyle w:val="Style2"/>
        <w:ind w:left="1134"/>
        <w:rPr>
          <w:lang w:val="en-US"/>
        </w:rPr>
      </w:pPr>
      <w:r w:rsidRPr="00856EA4">
        <w:rPr>
          <w:lang w:val="en-US"/>
        </w:rPr>
        <w:t>Alongside other public-sector bodies such as policing, Local Authorities and education institutions, the NHS plays a vital role in implementing Prevent to protect vulnerable people and manage the threat from terrorism as part of our safeguarding duty.</w:t>
      </w:r>
    </w:p>
    <w:p w14:paraId="647B3F63" w14:textId="77777777" w:rsidR="007F0D44" w:rsidRPr="00D03E6A" w:rsidRDefault="007F0D44" w:rsidP="00890F53">
      <w:pPr>
        <w:pStyle w:val="Heading2"/>
      </w:pPr>
      <w:bookmarkStart w:id="11" w:name="_Toc110852480"/>
      <w:r w:rsidRPr="00D03E6A">
        <w:t>Scope</w:t>
      </w:r>
      <w:bookmarkEnd w:id="11"/>
    </w:p>
    <w:p w14:paraId="1B26AE87" w14:textId="4A9E71F2" w:rsidR="00774655" w:rsidRPr="00774655" w:rsidRDefault="00774655" w:rsidP="00C2062B">
      <w:pPr>
        <w:pStyle w:val="Style2"/>
        <w:ind w:left="1134"/>
        <w:rPr>
          <w:lang w:val="en-US"/>
        </w:rPr>
      </w:pPr>
      <w:r w:rsidRPr="00774655">
        <w:rPr>
          <w:lang w:val="en-US"/>
        </w:rPr>
        <w:t xml:space="preserve">This policy is applicable to all staff employed by the </w:t>
      </w:r>
      <w:r w:rsidR="00553B7A">
        <w:rPr>
          <w:lang w:val="en-US"/>
        </w:rPr>
        <w:t xml:space="preserve">ICB </w:t>
      </w:r>
      <w:r w:rsidRPr="00774655">
        <w:rPr>
          <w:lang w:val="en-US"/>
        </w:rPr>
        <w:t>and will include those staff who are employed on a permanent, temporary, voluntary, contract, self-employed, bank or agency basis. The above will be referred to ‘all staff’ in this policy.</w:t>
      </w:r>
    </w:p>
    <w:p w14:paraId="5D4FA7C5" w14:textId="77777777" w:rsidR="001069D2" w:rsidRDefault="001069D2" w:rsidP="00C2062B">
      <w:pPr>
        <w:pStyle w:val="Style2"/>
        <w:numPr>
          <w:ilvl w:val="0"/>
          <w:numId w:val="0"/>
        </w:numPr>
        <w:ind w:left="1134"/>
        <w:rPr>
          <w:lang w:val="en-US"/>
        </w:rPr>
      </w:pPr>
    </w:p>
    <w:p w14:paraId="0F368657" w14:textId="0B2D20CA" w:rsidR="00774655" w:rsidRPr="00774655" w:rsidRDefault="00774655" w:rsidP="00890F53">
      <w:pPr>
        <w:pStyle w:val="Style2"/>
        <w:ind w:left="1134"/>
        <w:rPr>
          <w:lang w:val="en-US"/>
        </w:rPr>
      </w:pPr>
      <w:r w:rsidRPr="00774655">
        <w:rPr>
          <w:lang w:val="en-US"/>
        </w:rPr>
        <w:t>All commissioned provider services, services that work in partnership with other providers and independent contractors are expected to have robust policies and guidelines in place to support their staff in relation to their responsibilities for safeguarding children and adults.</w:t>
      </w:r>
    </w:p>
    <w:p w14:paraId="1DAD2C74" w14:textId="77777777" w:rsidR="001069D2" w:rsidRDefault="001069D2" w:rsidP="00C2062B">
      <w:pPr>
        <w:pStyle w:val="Style2"/>
        <w:numPr>
          <w:ilvl w:val="0"/>
          <w:numId w:val="0"/>
        </w:numPr>
        <w:ind w:left="1134"/>
        <w:rPr>
          <w:lang w:val="en-US"/>
        </w:rPr>
      </w:pPr>
    </w:p>
    <w:p w14:paraId="729971C6" w14:textId="09F1D60B" w:rsidR="00774655" w:rsidRPr="00774655" w:rsidRDefault="00774655" w:rsidP="00C2062B">
      <w:pPr>
        <w:pStyle w:val="Style2"/>
        <w:ind w:left="1134"/>
        <w:rPr>
          <w:lang w:val="en-US"/>
        </w:rPr>
      </w:pPr>
      <w:r w:rsidRPr="00774655">
        <w:rPr>
          <w:lang w:val="en-US"/>
        </w:rPr>
        <w:t xml:space="preserve">Health professionals have the reach and understanding to create and maintain meaningful relationships with their communities. Although tackling radicalisation may appear to be distant from your typical day-to-day role, the delivery of Prevent requires the support of local communities, local </w:t>
      </w:r>
      <w:proofErr w:type="gramStart"/>
      <w:r w:rsidRPr="00774655">
        <w:rPr>
          <w:lang w:val="en-US"/>
        </w:rPr>
        <w:t>partnerships</w:t>
      </w:r>
      <w:proofErr w:type="gramEnd"/>
      <w:r w:rsidRPr="00774655">
        <w:rPr>
          <w:lang w:val="en-US"/>
        </w:rPr>
        <w:t xml:space="preserve"> and local leaders to be implemented effectively. </w:t>
      </w:r>
    </w:p>
    <w:p w14:paraId="724F17A1" w14:textId="77777777" w:rsidR="00240AE2" w:rsidRDefault="00240AE2" w:rsidP="00C2062B">
      <w:pPr>
        <w:pStyle w:val="Style2"/>
        <w:numPr>
          <w:ilvl w:val="0"/>
          <w:numId w:val="0"/>
        </w:numPr>
        <w:ind w:left="1134"/>
        <w:rPr>
          <w:lang w:val="en-US"/>
        </w:rPr>
      </w:pPr>
    </w:p>
    <w:p w14:paraId="5C91B21B" w14:textId="1D020A3A" w:rsidR="00774655" w:rsidRPr="00774655" w:rsidRDefault="00774655" w:rsidP="00C2062B">
      <w:pPr>
        <w:pStyle w:val="Style2"/>
        <w:ind w:left="1134"/>
        <w:rPr>
          <w:lang w:val="en-US"/>
        </w:rPr>
      </w:pPr>
      <w:r w:rsidRPr="00774655">
        <w:rPr>
          <w:lang w:val="en-US"/>
        </w:rPr>
        <w:t xml:space="preserve">This document provides information for health professionals about the context and implementation of Prevent. It looks at the important role that health can play at a local level, and how they can lead the vital work that is necessary to safeguard individuals against </w:t>
      </w:r>
      <w:proofErr w:type="spellStart"/>
      <w:r w:rsidRPr="00774655">
        <w:rPr>
          <w:lang w:val="en-US"/>
        </w:rPr>
        <w:t>radicalisation</w:t>
      </w:r>
      <w:proofErr w:type="spellEnd"/>
      <w:r w:rsidRPr="00774655">
        <w:rPr>
          <w:lang w:val="en-US"/>
        </w:rPr>
        <w:t>.</w:t>
      </w:r>
    </w:p>
    <w:p w14:paraId="33D9D5BD" w14:textId="76D81B2B" w:rsidR="00F913CD" w:rsidRDefault="00F913CD" w:rsidP="00C2062B">
      <w:pPr>
        <w:pStyle w:val="Heading2"/>
      </w:pPr>
      <w:bookmarkStart w:id="12" w:name="_Toc89326546"/>
      <w:bookmarkStart w:id="13" w:name="_Toc110852481"/>
      <w:r w:rsidRPr="0015255F">
        <w:t>Definitions</w:t>
      </w:r>
      <w:bookmarkEnd w:id="12"/>
      <w:bookmarkEnd w:id="13"/>
    </w:p>
    <w:p w14:paraId="52AA86E7" w14:textId="77777777" w:rsidR="00340852" w:rsidRDefault="00340852" w:rsidP="00D469A2">
      <w:pPr>
        <w:pStyle w:val="ListParagraph"/>
        <w:numPr>
          <w:ilvl w:val="0"/>
          <w:numId w:val="35"/>
        </w:numPr>
        <w:contextualSpacing w:val="0"/>
      </w:pPr>
      <w:r w:rsidRPr="00553B7A">
        <w:rPr>
          <w:b/>
          <w:bCs/>
        </w:rPr>
        <w:t>Counter radicalisation</w:t>
      </w:r>
      <w:r w:rsidRPr="004A64F4">
        <w:t xml:space="preserve"> – refers to the process of protecting vulnerable people from being drawn into terrorist related activity. </w:t>
      </w:r>
    </w:p>
    <w:p w14:paraId="21F5E9B3" w14:textId="77777777" w:rsidR="0013180C" w:rsidRDefault="00340852" w:rsidP="00D469A2">
      <w:pPr>
        <w:pStyle w:val="ListParagraph"/>
        <w:numPr>
          <w:ilvl w:val="0"/>
          <w:numId w:val="35"/>
        </w:numPr>
        <w:contextualSpacing w:val="0"/>
      </w:pPr>
      <w:r w:rsidRPr="00553B7A">
        <w:rPr>
          <w:b/>
          <w:bCs/>
        </w:rPr>
        <w:t>Extremism</w:t>
      </w:r>
      <w:r w:rsidRPr="004A64F4">
        <w:t xml:space="preserve"> – is defined in the Prevent Strategy as vocal or active opposition to fundamental shared values, including democracy, the rule of law, individual liberty and mutual respect and tolerance of different faiths and beliefs. We also include in our definition of extremism calls for the death of members of our armed forces, whether in this country or overseas. </w:t>
      </w:r>
    </w:p>
    <w:p w14:paraId="4D173E54" w14:textId="2928EC17" w:rsidR="00340852" w:rsidRDefault="00340852" w:rsidP="00D469A2">
      <w:pPr>
        <w:pStyle w:val="ListParagraph"/>
        <w:numPr>
          <w:ilvl w:val="0"/>
          <w:numId w:val="35"/>
        </w:numPr>
        <w:contextualSpacing w:val="0"/>
      </w:pPr>
      <w:r w:rsidRPr="00553B7A">
        <w:rPr>
          <w:b/>
          <w:bCs/>
        </w:rPr>
        <w:t>Interventions</w:t>
      </w:r>
      <w:r w:rsidRPr="004A64F4">
        <w:t xml:space="preserve"> - projects intended to divert people who are being drawn into terrorist activity. Interventions can include mentoring, counselling, theological support, encouraging civic engagement, developing support networks (family and peer structures</w:t>
      </w:r>
      <w:proofErr w:type="gramStart"/>
      <w:r w:rsidRPr="004A64F4">
        <w:t>)</w:t>
      </w:r>
      <w:proofErr w:type="gramEnd"/>
      <w:r w:rsidRPr="004A64F4">
        <w:t xml:space="preserve"> or providing mainstream services (education, employment, health, finance or housing).</w:t>
      </w:r>
    </w:p>
    <w:p w14:paraId="2F8A29DD" w14:textId="77777777" w:rsidR="00340852" w:rsidRDefault="00340852" w:rsidP="00D469A2">
      <w:pPr>
        <w:pStyle w:val="ListParagraph"/>
        <w:numPr>
          <w:ilvl w:val="0"/>
          <w:numId w:val="35"/>
        </w:numPr>
        <w:contextualSpacing w:val="0"/>
      </w:pPr>
      <w:r w:rsidRPr="00553B7A">
        <w:rPr>
          <w:b/>
          <w:bCs/>
        </w:rPr>
        <w:t xml:space="preserve">Islamism </w:t>
      </w:r>
      <w:r w:rsidRPr="004A64F4">
        <w:t xml:space="preserve">– this term refers to the interpretation of Islam as a utopian model of politics, </w:t>
      </w:r>
      <w:proofErr w:type="gramStart"/>
      <w:r w:rsidRPr="004A64F4">
        <w:t>law</w:t>
      </w:r>
      <w:proofErr w:type="gramEnd"/>
      <w:r w:rsidRPr="004A64F4">
        <w:t xml:space="preserve"> and society superior to any other model. Islamists - those that follow the ideology of Islamism - seek to overturn systems based on non-Islamist values, which they consider </w:t>
      </w:r>
      <w:proofErr w:type="gramStart"/>
      <w:r w:rsidRPr="004A64F4">
        <w:t>to oppose</w:t>
      </w:r>
      <w:proofErr w:type="gramEnd"/>
      <w:r w:rsidRPr="004A64F4">
        <w:t xml:space="preserve"> their political interpretation of divine law and theology. Islamism is a political ideology, and it is wrong to equate it to the Islamic faith. </w:t>
      </w:r>
    </w:p>
    <w:p w14:paraId="38932374" w14:textId="0C94988A" w:rsidR="00340852" w:rsidRPr="005727DF" w:rsidRDefault="00340852" w:rsidP="00D469A2">
      <w:pPr>
        <w:pStyle w:val="ListParagraph"/>
        <w:numPr>
          <w:ilvl w:val="0"/>
          <w:numId w:val="35"/>
        </w:numPr>
        <w:contextualSpacing w:val="0"/>
      </w:pPr>
      <w:r w:rsidRPr="00553B7A">
        <w:rPr>
          <w:b/>
          <w:bCs/>
        </w:rPr>
        <w:t>Radicalisation</w:t>
      </w:r>
      <w:r w:rsidRPr="004A64F4">
        <w:t xml:space="preserve"> - refers to the process by which a person comes to support terrorism and extremist ideologies associated with terrorist groups</w:t>
      </w:r>
      <w:r w:rsidR="00515097">
        <w:t>.</w:t>
      </w:r>
    </w:p>
    <w:p w14:paraId="5DEDB21C" w14:textId="77777777" w:rsidR="00B931B9" w:rsidRPr="00553B7A" w:rsidRDefault="00B931B9" w:rsidP="00D469A2">
      <w:pPr>
        <w:pStyle w:val="ListParagraph"/>
        <w:numPr>
          <w:ilvl w:val="0"/>
          <w:numId w:val="35"/>
        </w:numPr>
        <w:contextualSpacing w:val="0"/>
        <w:rPr>
          <w:rFonts w:ascii="Arial" w:hAnsi="Arial"/>
          <w:b/>
          <w:bCs/>
          <w:color w:val="auto"/>
        </w:rPr>
      </w:pPr>
      <w:r w:rsidRPr="00553B7A">
        <w:rPr>
          <w:rFonts w:ascii="Arial" w:hAnsi="Arial"/>
          <w:b/>
          <w:bCs/>
          <w:color w:val="auto"/>
        </w:rPr>
        <w:t>Right-Wing Extremism</w:t>
      </w:r>
      <w:r w:rsidRPr="00553B7A">
        <w:rPr>
          <w:rFonts w:ascii="Arial" w:hAnsi="Arial"/>
          <w:color w:val="auto"/>
        </w:rPr>
        <w:t xml:space="preserve"> – in the UK can be broadly divided into three strands: </w:t>
      </w:r>
    </w:p>
    <w:p w14:paraId="02D6C633" w14:textId="3BAC9F9A" w:rsidR="00B931B9" w:rsidRPr="0080718D" w:rsidRDefault="00B931B9" w:rsidP="00D469A2">
      <w:pPr>
        <w:pStyle w:val="ListParagraph"/>
        <w:numPr>
          <w:ilvl w:val="0"/>
          <w:numId w:val="29"/>
        </w:numPr>
        <w:spacing w:before="0" w:after="60"/>
        <w:ind w:left="2410" w:hanging="425"/>
        <w:contextualSpacing w:val="0"/>
        <w:rPr>
          <w:b/>
          <w:bCs/>
        </w:rPr>
      </w:pPr>
      <w:r w:rsidRPr="004A64F4">
        <w:t>Cultural Nationalism is a belief that Western culture is under threat from mass migration into Europe and from a lack of integration by certain ethnic and cultural groups</w:t>
      </w:r>
      <w:r w:rsidR="00515097">
        <w:t>.</w:t>
      </w:r>
    </w:p>
    <w:p w14:paraId="047E46D5" w14:textId="7DCEC893" w:rsidR="00B931B9" w:rsidRPr="0080718D" w:rsidRDefault="00B931B9" w:rsidP="00D469A2">
      <w:pPr>
        <w:pStyle w:val="ListParagraph"/>
        <w:numPr>
          <w:ilvl w:val="0"/>
          <w:numId w:val="29"/>
        </w:numPr>
        <w:spacing w:before="0" w:after="60"/>
        <w:ind w:left="2410" w:hanging="425"/>
        <w:contextualSpacing w:val="0"/>
        <w:rPr>
          <w:b/>
          <w:bCs/>
        </w:rPr>
      </w:pPr>
      <w:r w:rsidRPr="004A64F4">
        <w:t>White Nationalism is a belief that mass migration from the ‘non-white’ world, and demographic change, poses an existential threat to the ‘white race’</w:t>
      </w:r>
      <w:r w:rsidR="00515097">
        <w:t>.</w:t>
      </w:r>
    </w:p>
    <w:p w14:paraId="7B70049D" w14:textId="7000487B" w:rsidR="00B931B9" w:rsidRPr="0080718D" w:rsidRDefault="00B931B9" w:rsidP="00D469A2">
      <w:pPr>
        <w:pStyle w:val="ListParagraph"/>
        <w:numPr>
          <w:ilvl w:val="0"/>
          <w:numId w:val="29"/>
        </w:numPr>
        <w:ind w:left="2410" w:hanging="425"/>
        <w:contextualSpacing w:val="0"/>
        <w:rPr>
          <w:b/>
        </w:rPr>
      </w:pPr>
      <w:r w:rsidRPr="004A64F4">
        <w:t xml:space="preserve">‘Western culture’ - White Supremacism is a belief that the ‘white race’ has certain inalienable physical and mental characteristics that makes it superior to other races.  </w:t>
      </w:r>
    </w:p>
    <w:p w14:paraId="79E1F035" w14:textId="40970BBE" w:rsidR="00B931B9" w:rsidRPr="00A50A6B" w:rsidRDefault="00B931B9" w:rsidP="00D469A2">
      <w:pPr>
        <w:pStyle w:val="ListParagraph"/>
        <w:numPr>
          <w:ilvl w:val="0"/>
          <w:numId w:val="36"/>
        </w:numPr>
        <w:contextualSpacing w:val="0"/>
        <w:jc w:val="both"/>
      </w:pPr>
      <w:r w:rsidRPr="00553B7A">
        <w:rPr>
          <w:b/>
          <w:bCs/>
        </w:rPr>
        <w:t>Terrorism</w:t>
      </w:r>
      <w:r w:rsidRPr="00A50A6B">
        <w:t xml:space="preserve"> – an action (defined in the Terrorism Act 2000) that endangers or causes serious violence to a person/people; causes serious damage to property; or seriously interferes or disrupts an electronic system. The use of the threat must be designed to influence the government or to intimidate the public and is made for the purpose of advancing political, </w:t>
      </w:r>
      <w:proofErr w:type="gramStart"/>
      <w:r w:rsidRPr="00A50A6B">
        <w:t>religious</w:t>
      </w:r>
      <w:proofErr w:type="gramEnd"/>
      <w:r w:rsidRPr="00A50A6B">
        <w:t xml:space="preserve"> or ideological cause. </w:t>
      </w:r>
    </w:p>
    <w:p w14:paraId="1CC50676" w14:textId="00F1A2F2" w:rsidR="00B931B9" w:rsidRPr="00A50A6B" w:rsidRDefault="00B931B9" w:rsidP="00D469A2">
      <w:pPr>
        <w:pStyle w:val="ListParagraph"/>
        <w:numPr>
          <w:ilvl w:val="0"/>
          <w:numId w:val="36"/>
        </w:numPr>
        <w:contextualSpacing w:val="0"/>
        <w:jc w:val="both"/>
      </w:pPr>
      <w:r w:rsidRPr="00553B7A">
        <w:rPr>
          <w:b/>
          <w:bCs/>
        </w:rPr>
        <w:t>Vulnerability</w:t>
      </w:r>
      <w:r w:rsidRPr="00A50A6B">
        <w:t xml:space="preserve"> - within Prevent, describes factors and characteristics associated with being susceptible to radicalisation</w:t>
      </w:r>
      <w:r w:rsidR="00515097">
        <w:t>.</w:t>
      </w:r>
    </w:p>
    <w:p w14:paraId="0E72F2F5" w14:textId="77777777" w:rsidR="00F913CD" w:rsidRPr="0015255F" w:rsidRDefault="00F913CD" w:rsidP="00C2062B">
      <w:pPr>
        <w:pStyle w:val="Heading2"/>
      </w:pPr>
      <w:bookmarkStart w:id="14" w:name="_Toc89326547"/>
      <w:bookmarkStart w:id="15" w:name="_Toc110852482"/>
      <w:r w:rsidRPr="0015255F">
        <w:t>Roles and Responsibilities</w:t>
      </w:r>
      <w:bookmarkStart w:id="16" w:name="_Toc84611047"/>
      <w:bookmarkEnd w:id="14"/>
      <w:bookmarkEnd w:id="15"/>
    </w:p>
    <w:p w14:paraId="6ADF5035" w14:textId="5E2C3446" w:rsidR="00F913CD" w:rsidRDefault="00F913CD" w:rsidP="00C2062B">
      <w:pPr>
        <w:pStyle w:val="Heading3"/>
        <w:ind w:left="1134"/>
      </w:pPr>
      <w:bookmarkStart w:id="17" w:name="_Toc110852483"/>
      <w:bookmarkEnd w:id="16"/>
      <w:r w:rsidRPr="0015255F">
        <w:t>ICB Board</w:t>
      </w:r>
      <w:bookmarkEnd w:id="17"/>
      <w:r w:rsidRPr="0015255F">
        <w:t xml:space="preserve"> </w:t>
      </w:r>
    </w:p>
    <w:p w14:paraId="3789F6FE" w14:textId="5104D4FC" w:rsidR="007E67FB" w:rsidRDefault="007E67FB" w:rsidP="007E67FB">
      <w:pPr>
        <w:pStyle w:val="Style2"/>
        <w:ind w:left="1134"/>
      </w:pPr>
      <w:r w:rsidRPr="00AB6150">
        <w:t xml:space="preserve">The ICB Board is accountable and responsible for ensuring that the ICB has effective processes </w:t>
      </w:r>
      <w:r>
        <w:t>to ensure compliance</w:t>
      </w:r>
      <w:r w:rsidRPr="00AB6150">
        <w:t>.</w:t>
      </w:r>
      <w:r>
        <w:t xml:space="preserve"> </w:t>
      </w:r>
      <w:r w:rsidRPr="00AB6150">
        <w:t xml:space="preserve"> The Board is assured through the work of the </w:t>
      </w:r>
      <w:r w:rsidRPr="000B495D">
        <w:t>Quality</w:t>
      </w:r>
      <w:r w:rsidRPr="00AB6150">
        <w:t xml:space="preserve"> Committee</w:t>
      </w:r>
      <w:r w:rsidR="00515097">
        <w:t>.</w:t>
      </w:r>
    </w:p>
    <w:p w14:paraId="2EC49568" w14:textId="4AEA0B95" w:rsidR="007E67FB" w:rsidRDefault="007E67FB" w:rsidP="007E67FB">
      <w:pPr>
        <w:pStyle w:val="Heading3"/>
        <w:ind w:left="1134"/>
      </w:pPr>
      <w:bookmarkStart w:id="18" w:name="_Toc103004299"/>
      <w:bookmarkStart w:id="19" w:name="_Toc110852484"/>
      <w:r>
        <w:t>Quality</w:t>
      </w:r>
      <w:r w:rsidRPr="0015255F">
        <w:t xml:space="preserve"> Committee</w:t>
      </w:r>
      <w:bookmarkEnd w:id="18"/>
      <w:bookmarkEnd w:id="19"/>
    </w:p>
    <w:p w14:paraId="46A48FCC" w14:textId="416BB4CB" w:rsidR="007E67FB" w:rsidRDefault="007E67FB" w:rsidP="007E67FB">
      <w:pPr>
        <w:pStyle w:val="Style2"/>
        <w:ind w:left="1134"/>
      </w:pPr>
      <w:r w:rsidRPr="00261EC7">
        <w:t xml:space="preserve">This committee is responsible for the detailed oversight and scrutiny of the ICB’s processes for ensuring compliance with the </w:t>
      </w:r>
      <w:r>
        <w:t>safeguarding guidance</w:t>
      </w:r>
      <w:r w:rsidR="00515097">
        <w:t>.</w:t>
      </w:r>
    </w:p>
    <w:p w14:paraId="74D91D5D" w14:textId="77777777" w:rsidR="007E67FB" w:rsidRPr="0015255F" w:rsidRDefault="007E67FB" w:rsidP="007E67FB">
      <w:pPr>
        <w:pStyle w:val="Heading3"/>
        <w:ind w:left="1134"/>
      </w:pPr>
      <w:bookmarkStart w:id="20" w:name="_Toc110852485"/>
      <w:r w:rsidRPr="0015255F">
        <w:t>Chief Executive</w:t>
      </w:r>
      <w:bookmarkEnd w:id="20"/>
    </w:p>
    <w:p w14:paraId="47F23D30" w14:textId="5C03AE9B" w:rsidR="007E67FB" w:rsidRPr="00AB6BC5" w:rsidRDefault="007E67FB" w:rsidP="007E67FB">
      <w:pPr>
        <w:pStyle w:val="Style2"/>
        <w:ind w:left="1134"/>
      </w:pPr>
      <w:r w:rsidRPr="00B100E9">
        <w:t xml:space="preserve">The </w:t>
      </w:r>
      <w:r w:rsidRPr="00553B7A">
        <w:t>Chief Executive</w:t>
      </w:r>
      <w:r w:rsidRPr="00B100E9">
        <w:t xml:space="preserve"> has overall responsibility to have processes in place to ensure that</w:t>
      </w:r>
      <w:r>
        <w:t xml:space="preserve"> all </w:t>
      </w:r>
      <w:r w:rsidRPr="00B100E9">
        <w:t xml:space="preserve">staff are aware of this policy and their </w:t>
      </w:r>
      <w:r>
        <w:t>safeguarding responsibilities and e</w:t>
      </w:r>
      <w:r w:rsidRPr="00B100E9">
        <w:t>nsure that appropriate resources exist to meet the requirements of this policy</w:t>
      </w:r>
      <w:r>
        <w:t xml:space="preserve">.  </w:t>
      </w:r>
      <w:r w:rsidRPr="00321ED0">
        <w:t xml:space="preserve">This role is supported by the </w:t>
      </w:r>
      <w:r w:rsidRPr="00AB6BC5">
        <w:t>Executive Director of Nursing &amp; Quality</w:t>
      </w:r>
      <w:r>
        <w:t xml:space="preserve"> </w:t>
      </w:r>
      <w:r w:rsidRPr="00321ED0">
        <w:t>who in turn is supported by the Designated Nurses for expert advice</w:t>
      </w:r>
      <w:r w:rsidR="00515097">
        <w:t>.</w:t>
      </w:r>
    </w:p>
    <w:p w14:paraId="51B1CF8E" w14:textId="39908D6D" w:rsidR="00163568" w:rsidRDefault="00515097" w:rsidP="00597FE5">
      <w:pPr>
        <w:pStyle w:val="Heading3"/>
        <w:ind w:left="1134"/>
      </w:pPr>
      <w:bookmarkStart w:id="21" w:name="_Toc110852486"/>
      <w:r>
        <w:t>Executive Director of Nursing and Quality</w:t>
      </w:r>
      <w:bookmarkEnd w:id="21"/>
    </w:p>
    <w:p w14:paraId="1527B606" w14:textId="5E30B8F1" w:rsidR="00B15D54" w:rsidRDefault="00E71B15" w:rsidP="00515097">
      <w:pPr>
        <w:pStyle w:val="Style2"/>
      </w:pPr>
      <w:r w:rsidRPr="00E71B15">
        <w:t>The</w:t>
      </w:r>
      <w:r>
        <w:rPr>
          <w:b/>
          <w:bCs/>
        </w:rPr>
        <w:t xml:space="preserve"> </w:t>
      </w:r>
      <w:r w:rsidR="00515097" w:rsidRPr="00515097">
        <w:t>Executive Director of Nursing and Quality</w:t>
      </w:r>
      <w:r w:rsidR="00515097">
        <w:t xml:space="preserve"> </w:t>
      </w:r>
      <w:r w:rsidR="00AC2DF1" w:rsidRPr="00B100E9">
        <w:t xml:space="preserve">is the </w:t>
      </w:r>
      <w:r w:rsidR="00553B7A">
        <w:t xml:space="preserve">ICB </w:t>
      </w:r>
      <w:r w:rsidR="00AC2DF1" w:rsidRPr="00B100E9">
        <w:t>overall executive lead for safeguarding and</w:t>
      </w:r>
      <w:r w:rsidR="00AC2DF1">
        <w:t xml:space="preserve"> </w:t>
      </w:r>
      <w:proofErr w:type="gramStart"/>
      <w:r w:rsidR="00AC2DF1">
        <w:t>Prevent</w:t>
      </w:r>
      <w:proofErr w:type="gramEnd"/>
      <w:r w:rsidR="00553B7A">
        <w:t xml:space="preserve"> and</w:t>
      </w:r>
      <w:r w:rsidR="00AC2DF1" w:rsidRPr="00B100E9">
        <w:t>:</w:t>
      </w:r>
    </w:p>
    <w:p w14:paraId="1F1EF361" w14:textId="4D035D86" w:rsidR="00AC2DF1" w:rsidRPr="00A02D1C" w:rsidRDefault="00AC2DF1" w:rsidP="00C2062B">
      <w:pPr>
        <w:pStyle w:val="BodyText"/>
        <w:widowControl w:val="0"/>
        <w:numPr>
          <w:ilvl w:val="0"/>
          <w:numId w:val="13"/>
        </w:numPr>
        <w:spacing w:before="0"/>
        <w:ind w:left="1418" w:right="232" w:hanging="284"/>
        <w:rPr>
          <w:rFonts w:cs="Arial"/>
        </w:rPr>
      </w:pPr>
      <w:r w:rsidRPr="00A02D1C">
        <w:rPr>
          <w:rFonts w:cs="Arial"/>
        </w:rPr>
        <w:t>Is responsible for the execution of all safeguarding responsibilities on behalf of the AO and the Board members.</w:t>
      </w:r>
    </w:p>
    <w:p w14:paraId="1414EBBB" w14:textId="4529E2F4" w:rsidR="00F913CD" w:rsidRDefault="00AC2DF1" w:rsidP="00C2062B">
      <w:pPr>
        <w:pStyle w:val="BodyText"/>
        <w:widowControl w:val="0"/>
        <w:numPr>
          <w:ilvl w:val="0"/>
          <w:numId w:val="13"/>
        </w:numPr>
        <w:spacing w:before="0" w:after="0"/>
        <w:ind w:left="1418" w:right="232" w:hanging="306"/>
        <w:rPr>
          <w:rFonts w:cs="Arial"/>
        </w:rPr>
      </w:pPr>
      <w:r w:rsidRPr="00A02D1C">
        <w:rPr>
          <w:rFonts w:cs="Arial"/>
        </w:rPr>
        <w:t>Promotes the safeguarding of children and adults within commissioning arrangements to meet identified quality standards through quality scrutiny processes</w:t>
      </w:r>
      <w:r w:rsidR="00F913CD" w:rsidRPr="00A02D1C">
        <w:rPr>
          <w:rFonts w:cs="Arial"/>
        </w:rPr>
        <w:t>.</w:t>
      </w:r>
      <w:bookmarkStart w:id="22" w:name="_Toc84611048"/>
    </w:p>
    <w:p w14:paraId="66A934FB" w14:textId="04625E2C" w:rsidR="00A2003E" w:rsidRPr="00A2003E" w:rsidRDefault="00A2003E" w:rsidP="00A2003E">
      <w:pPr>
        <w:pStyle w:val="Heading3"/>
        <w:ind w:left="1134"/>
        <w:rPr>
          <w:b w:val="0"/>
        </w:rPr>
      </w:pPr>
      <w:bookmarkStart w:id="23" w:name="_Toc110852487"/>
      <w:r w:rsidRPr="007E67FB">
        <w:t>Designated Professionals (safeguarding and LAC)</w:t>
      </w:r>
      <w:bookmarkEnd w:id="23"/>
    </w:p>
    <w:p w14:paraId="1539B94E" w14:textId="3133ED88" w:rsidR="007E67FB" w:rsidRPr="007E67FB" w:rsidRDefault="007E67FB" w:rsidP="00A2003E">
      <w:pPr>
        <w:pStyle w:val="Style2"/>
        <w:ind w:left="1134"/>
        <w:rPr>
          <w:b/>
        </w:rPr>
      </w:pPr>
      <w:r w:rsidRPr="007E67FB">
        <w:rPr>
          <w:bCs/>
        </w:rPr>
        <w:t>Designated Professionals (safeguarding and LAC)</w:t>
      </w:r>
      <w:r w:rsidRPr="007E67FB">
        <w:t xml:space="preserve"> take a strategic, </w:t>
      </w:r>
      <w:proofErr w:type="gramStart"/>
      <w:r w:rsidRPr="007E67FB">
        <w:t>professional</w:t>
      </w:r>
      <w:proofErr w:type="gramEnd"/>
      <w:r w:rsidRPr="007E67FB">
        <w:t xml:space="preserve"> and advisory lead on all aspects of the health service contribution to Prevent across the </w:t>
      </w:r>
      <w:r w:rsidR="00D469A2">
        <w:t xml:space="preserve">ICB </w:t>
      </w:r>
      <w:r w:rsidRPr="007E67FB">
        <w:t>area, which includes all providers.</w:t>
      </w:r>
    </w:p>
    <w:p w14:paraId="5F8853CC" w14:textId="77777777" w:rsidR="00F913CD" w:rsidRPr="0015255F" w:rsidRDefault="00F913CD" w:rsidP="00C2062B">
      <w:pPr>
        <w:pStyle w:val="Heading3"/>
        <w:ind w:left="1134"/>
      </w:pPr>
      <w:bookmarkStart w:id="24" w:name="_Toc84611055"/>
      <w:bookmarkStart w:id="25" w:name="_Toc110852488"/>
      <w:bookmarkEnd w:id="22"/>
      <w:r w:rsidRPr="0015255F">
        <w:t>All Staff</w:t>
      </w:r>
      <w:bookmarkEnd w:id="24"/>
      <w:bookmarkEnd w:id="25"/>
    </w:p>
    <w:p w14:paraId="3548D3CA" w14:textId="77777777" w:rsidR="00DE5D2D" w:rsidRPr="000A15BD" w:rsidRDefault="00DE5D2D" w:rsidP="00C2062B">
      <w:pPr>
        <w:pStyle w:val="Style2"/>
        <w:ind w:left="1134"/>
      </w:pPr>
      <w:bookmarkStart w:id="26" w:name="_Toc84611056"/>
      <w:bookmarkStart w:id="27" w:name="_Toc89326548"/>
      <w:r w:rsidRPr="000A15BD">
        <w:t>All staff must:</w:t>
      </w:r>
    </w:p>
    <w:p w14:paraId="45F1C40D" w14:textId="144E4881" w:rsidR="00DE5D2D" w:rsidRPr="000A15BD" w:rsidRDefault="00DE5D2D" w:rsidP="00C2062B">
      <w:pPr>
        <w:widowControl w:val="0"/>
        <w:numPr>
          <w:ilvl w:val="0"/>
          <w:numId w:val="18"/>
        </w:numPr>
        <w:spacing w:before="0" w:after="120"/>
        <w:ind w:left="1418" w:hanging="284"/>
        <w:rPr>
          <w:rFonts w:ascii="Arial" w:hAnsi="Arial" w:cs="Arial"/>
        </w:rPr>
      </w:pPr>
      <w:r w:rsidRPr="000A15BD">
        <w:rPr>
          <w:rFonts w:ascii="Arial" w:hAnsi="Arial" w:cs="Arial"/>
        </w:rPr>
        <w:t>Comply with</w:t>
      </w:r>
      <w:r>
        <w:rPr>
          <w:rFonts w:ascii="Arial" w:hAnsi="Arial" w:cs="Arial"/>
        </w:rPr>
        <w:t xml:space="preserve"> this policy</w:t>
      </w:r>
      <w:r w:rsidR="00515097">
        <w:rPr>
          <w:rFonts w:ascii="Arial" w:hAnsi="Arial" w:cs="Arial"/>
        </w:rPr>
        <w:t>.</w:t>
      </w:r>
      <w:r w:rsidRPr="000A15BD">
        <w:rPr>
          <w:rFonts w:ascii="Arial" w:hAnsi="Arial" w:cs="Arial"/>
        </w:rPr>
        <w:tab/>
      </w:r>
    </w:p>
    <w:p w14:paraId="6490688F" w14:textId="1A402853" w:rsidR="00DE5D2D" w:rsidRPr="00DE5D2D" w:rsidRDefault="00DE5D2D" w:rsidP="00C2062B">
      <w:pPr>
        <w:widowControl w:val="0"/>
        <w:numPr>
          <w:ilvl w:val="0"/>
          <w:numId w:val="18"/>
        </w:numPr>
        <w:spacing w:before="0" w:after="0"/>
        <w:ind w:left="1418" w:hanging="284"/>
        <w:rPr>
          <w:rFonts w:ascii="Arial" w:hAnsi="Arial" w:cs="Arial"/>
        </w:rPr>
      </w:pPr>
      <w:r w:rsidRPr="00DE5D2D">
        <w:rPr>
          <w:rFonts w:ascii="Arial" w:hAnsi="Arial" w:cs="Arial"/>
        </w:rPr>
        <w:t>Undertake Prevent training at the appropriate level to their role and maintain a level of knowledge and skills appropriate to their role</w:t>
      </w:r>
      <w:r w:rsidR="00515097">
        <w:rPr>
          <w:rFonts w:ascii="Arial" w:hAnsi="Arial" w:cs="Arial"/>
        </w:rPr>
        <w:t>.</w:t>
      </w:r>
    </w:p>
    <w:p w14:paraId="0079C255" w14:textId="663C2531" w:rsidR="00F913CD" w:rsidRPr="0015255F" w:rsidRDefault="00F913CD" w:rsidP="00C2062B">
      <w:pPr>
        <w:pStyle w:val="Heading2"/>
      </w:pPr>
      <w:bookmarkStart w:id="28" w:name="_Toc110852489"/>
      <w:r w:rsidRPr="0015255F">
        <w:t>Policy Detail</w:t>
      </w:r>
      <w:bookmarkEnd w:id="26"/>
      <w:bookmarkEnd w:id="27"/>
      <w:bookmarkEnd w:id="28"/>
    </w:p>
    <w:p w14:paraId="2810C509" w14:textId="77777777" w:rsidR="00747B7B" w:rsidRDefault="00747B7B" w:rsidP="00C2062B">
      <w:pPr>
        <w:pStyle w:val="Heading3"/>
        <w:ind w:left="1134"/>
      </w:pPr>
      <w:bookmarkStart w:id="29" w:name="_Toc110852490"/>
      <w:r w:rsidRPr="00343179">
        <w:t>The Threat</w:t>
      </w:r>
      <w:bookmarkEnd w:id="29"/>
      <w:r w:rsidRPr="00343179">
        <w:t xml:space="preserve"> </w:t>
      </w:r>
    </w:p>
    <w:p w14:paraId="2663A0D2" w14:textId="77777777" w:rsidR="00747B7B" w:rsidRPr="0016312F" w:rsidRDefault="00747B7B" w:rsidP="00C2062B">
      <w:pPr>
        <w:pStyle w:val="Style2"/>
        <w:ind w:left="1134"/>
        <w:contextualSpacing w:val="0"/>
      </w:pPr>
      <w:r w:rsidRPr="0016312F">
        <w:t xml:space="preserve">The UK is currently facing a number of different terrorist threats, ranging from Daesh and </w:t>
      </w:r>
      <w:proofErr w:type="spellStart"/>
      <w:r w:rsidRPr="0016312F">
        <w:t>Al’Qa’ida</w:t>
      </w:r>
      <w:proofErr w:type="spellEnd"/>
      <w:r w:rsidRPr="0016312F">
        <w:t xml:space="preserve"> inspired to right-wing terrorism. </w:t>
      </w:r>
    </w:p>
    <w:p w14:paraId="571D54C1" w14:textId="77777777" w:rsidR="00747B7B" w:rsidRPr="0016312F" w:rsidRDefault="00747B7B" w:rsidP="00C2062B">
      <w:pPr>
        <w:pStyle w:val="Style2"/>
        <w:ind w:left="1134"/>
        <w:contextualSpacing w:val="0"/>
      </w:pPr>
      <w:r w:rsidRPr="0016312F">
        <w:t xml:space="preserve">The current level of threat from terrorism in the UK is substantial - which means an attack is considered likely. </w:t>
      </w:r>
    </w:p>
    <w:p w14:paraId="1B49605C" w14:textId="77777777" w:rsidR="00747B7B" w:rsidRPr="0016312F" w:rsidRDefault="00747B7B" w:rsidP="00C2062B">
      <w:pPr>
        <w:pStyle w:val="Style2"/>
        <w:ind w:left="1134"/>
        <w:contextualSpacing w:val="0"/>
      </w:pPr>
      <w:r w:rsidRPr="0016312F">
        <w:t xml:space="preserve">The threat has mainly been caused by Daesh (also known as Islamic State of Iraq and the Levant - ISIL). Their ability to direct, enable and inspire attacks makes the group the most significant global terrorist threat. </w:t>
      </w:r>
    </w:p>
    <w:p w14:paraId="690260A4" w14:textId="77777777" w:rsidR="00747B7B" w:rsidRPr="0016312F" w:rsidRDefault="00747B7B" w:rsidP="00C2062B">
      <w:pPr>
        <w:pStyle w:val="Style2"/>
        <w:ind w:left="1134"/>
        <w:contextualSpacing w:val="0"/>
      </w:pPr>
      <w:r w:rsidRPr="0016312F">
        <w:t xml:space="preserve">There is also a growing threat from right-wing terrorism. The Government has banned three </w:t>
      </w:r>
      <w:proofErr w:type="spellStart"/>
      <w:r w:rsidRPr="0016312F">
        <w:t>rightwing</w:t>
      </w:r>
      <w:proofErr w:type="spellEnd"/>
      <w:r w:rsidRPr="0016312F">
        <w:t xml:space="preserve"> terrorist groups - National Action, </w:t>
      </w:r>
      <w:proofErr w:type="spellStart"/>
      <w:r w:rsidRPr="0016312F">
        <w:t>Sonnenkrieg</w:t>
      </w:r>
      <w:proofErr w:type="spellEnd"/>
      <w:r w:rsidRPr="0016312F">
        <w:t xml:space="preserve"> Division (SKD) and </w:t>
      </w:r>
      <w:proofErr w:type="spellStart"/>
      <w:r w:rsidRPr="0016312F">
        <w:t>Feuerkrieg</w:t>
      </w:r>
      <w:proofErr w:type="spellEnd"/>
      <w:r w:rsidRPr="0016312F">
        <w:t xml:space="preserve"> Division (FKD). </w:t>
      </w:r>
    </w:p>
    <w:p w14:paraId="1B426EC3" w14:textId="77777777" w:rsidR="00747B7B" w:rsidRPr="0016312F" w:rsidRDefault="00747B7B" w:rsidP="00C2062B">
      <w:pPr>
        <w:pStyle w:val="Style2"/>
        <w:ind w:left="1134"/>
        <w:contextualSpacing w:val="0"/>
      </w:pPr>
      <w:r w:rsidRPr="0016312F">
        <w:t xml:space="preserve">Since 2017, there have been nine Daesh-inspired attacks and two right-wing terrorist attacks in the UK. These attacks have resulted in the tragic loss of many lives, as well as severe injuries and psychological impacts for victims. </w:t>
      </w:r>
    </w:p>
    <w:p w14:paraId="5E9FF9FE" w14:textId="77777777" w:rsidR="00747B7B" w:rsidRPr="0016312F" w:rsidRDefault="00747B7B" w:rsidP="00C2062B">
      <w:pPr>
        <w:pStyle w:val="Style2"/>
        <w:ind w:left="1134"/>
        <w:contextualSpacing w:val="0"/>
      </w:pPr>
      <w:r w:rsidRPr="0016312F">
        <w:t xml:space="preserve">Terrorism also represents a huge cost to the country financially, with the direct and indirect costs of the 2017 attacks alone running into the billions of pounds. </w:t>
      </w:r>
    </w:p>
    <w:p w14:paraId="3A46663B" w14:textId="77777777" w:rsidR="00747B7B" w:rsidRPr="0016312F" w:rsidRDefault="00747B7B" w:rsidP="00C2062B">
      <w:pPr>
        <w:pStyle w:val="Style2"/>
        <w:ind w:left="1134"/>
        <w:contextualSpacing w:val="0"/>
      </w:pPr>
      <w:r w:rsidRPr="0016312F">
        <w:t xml:space="preserve">Some online spaces are used by terrorists to spread sophisticated propaganda designed to radicalise, </w:t>
      </w:r>
      <w:proofErr w:type="gramStart"/>
      <w:r w:rsidRPr="0016312F">
        <w:t>recruit</w:t>
      </w:r>
      <w:proofErr w:type="gramEnd"/>
      <w:r w:rsidRPr="0016312F">
        <w:t xml:space="preserve"> and inspire people, and to incite or provide information to enable terrorist attacks. </w:t>
      </w:r>
    </w:p>
    <w:p w14:paraId="39CCC0EC" w14:textId="3E2F2FA7" w:rsidR="00747B7B" w:rsidRPr="0016312F" w:rsidRDefault="00747B7B" w:rsidP="00C2062B">
      <w:pPr>
        <w:pStyle w:val="Style2"/>
        <w:ind w:left="1134"/>
        <w:contextualSpacing w:val="0"/>
      </w:pPr>
      <w:r w:rsidRPr="0016312F">
        <w:t xml:space="preserve">Since 2010, over 310,000 pieces of illegal terrorist material have been removed from the internet by the </w:t>
      </w:r>
      <w:proofErr w:type="spellStart"/>
      <w:r w:rsidRPr="0016312F">
        <w:t>CounterTerrorism</w:t>
      </w:r>
      <w:proofErr w:type="spellEnd"/>
      <w:r w:rsidRPr="0016312F">
        <w:t xml:space="preserve"> Internet Referral Unit (CTIRU), a body set up by the Home Office to help counter the spread of terrorist propaganda online.</w:t>
      </w:r>
    </w:p>
    <w:p w14:paraId="6DB72B5E" w14:textId="77777777" w:rsidR="00186922" w:rsidRPr="00186922" w:rsidRDefault="00186922" w:rsidP="00C2062B">
      <w:pPr>
        <w:pStyle w:val="Heading3"/>
        <w:ind w:left="1134"/>
      </w:pPr>
      <w:bookmarkStart w:id="30" w:name="_Toc110852491"/>
      <w:r w:rsidRPr="00186922">
        <w:t>Prevent, Counter-Extremism and Integration</w:t>
      </w:r>
      <w:bookmarkEnd w:id="30"/>
    </w:p>
    <w:p w14:paraId="6A2A5907" w14:textId="77777777" w:rsidR="00186922" w:rsidRPr="00186922" w:rsidRDefault="00186922" w:rsidP="00C2062B">
      <w:pPr>
        <w:pStyle w:val="Style2"/>
        <w:ind w:left="1134"/>
      </w:pPr>
      <w:r w:rsidRPr="00186922">
        <w:t xml:space="preserve">HM Government’s Prevent Strategy, Counter-Extremism Strategy and Integrated Communities Strategy all play important roles in tackling terrorism, challenging </w:t>
      </w:r>
      <w:proofErr w:type="gramStart"/>
      <w:r w:rsidRPr="00186922">
        <w:t>extremism</w:t>
      </w:r>
      <w:proofErr w:type="gramEnd"/>
      <w:r w:rsidRPr="00186922">
        <w:t xml:space="preserve"> and building stronger, more cohesive communities that are resilient to divisive narratives. Whilst these strategies are complementary, they each have distinct, separate objectives. </w:t>
      </w:r>
    </w:p>
    <w:p w14:paraId="0492FBDF" w14:textId="77777777" w:rsidR="00914C5C" w:rsidRDefault="00914C5C" w:rsidP="00C2062B">
      <w:pPr>
        <w:pStyle w:val="Style2"/>
        <w:numPr>
          <w:ilvl w:val="0"/>
          <w:numId w:val="0"/>
        </w:numPr>
        <w:ind w:left="1418"/>
      </w:pPr>
    </w:p>
    <w:p w14:paraId="0A0C590E" w14:textId="33E8C9D0" w:rsidR="00186922" w:rsidRPr="00914C5C" w:rsidRDefault="00186922" w:rsidP="00C2062B">
      <w:pPr>
        <w:pStyle w:val="Style2"/>
        <w:ind w:left="1134"/>
      </w:pPr>
      <w:r w:rsidRPr="00914C5C">
        <w:t xml:space="preserve">The Prevent Strategy aims to safeguard those vulnerable to radicalisation, to stop them becoming terrorists or supporting terrorism.  </w:t>
      </w:r>
    </w:p>
    <w:p w14:paraId="42CF9A35" w14:textId="77777777" w:rsidR="00B42D17" w:rsidRDefault="00B42D17" w:rsidP="00C2062B">
      <w:pPr>
        <w:pStyle w:val="Style2"/>
        <w:numPr>
          <w:ilvl w:val="0"/>
          <w:numId w:val="0"/>
        </w:numPr>
        <w:ind w:left="1418"/>
      </w:pPr>
    </w:p>
    <w:p w14:paraId="0AE39AF8" w14:textId="7EACB603" w:rsidR="00186922" w:rsidRPr="00B42D17" w:rsidRDefault="00186922" w:rsidP="00C2062B">
      <w:pPr>
        <w:pStyle w:val="Style2"/>
        <w:ind w:left="1134"/>
      </w:pPr>
      <w:r w:rsidRPr="00B42D17">
        <w:t xml:space="preserve">The Counter-Extremism Strategy 2015 aims to protect the values which underpin our society - the rule of law, individual liberty, democracy, mutual respect, tolerance and understanding of different faiths and beliefs – by tackling extremism in all its forms. It addresses the promotion of hatred, the erosion of women’s rights, the spread of intolerance, and the isolation of communities all of which can increase the risk of hate crime. </w:t>
      </w:r>
    </w:p>
    <w:p w14:paraId="64363A14" w14:textId="77777777" w:rsidR="00C25DF4" w:rsidRDefault="00C25DF4" w:rsidP="00C2062B">
      <w:pPr>
        <w:pStyle w:val="Style2"/>
        <w:numPr>
          <w:ilvl w:val="0"/>
          <w:numId w:val="0"/>
        </w:numPr>
        <w:ind w:left="1418"/>
      </w:pPr>
    </w:p>
    <w:p w14:paraId="6056CFFC" w14:textId="30B328F0" w:rsidR="00186922" w:rsidRPr="00C25DF4" w:rsidRDefault="00186922" w:rsidP="00C2062B">
      <w:pPr>
        <w:pStyle w:val="Style2"/>
        <w:ind w:left="1134"/>
      </w:pPr>
      <w:r w:rsidRPr="00C25DF4">
        <w:t xml:space="preserve">The Integrated Communities Strategy 2018 aims to create communities where people, whatever their background, live, work, learn and socialise together, and where many religions, cultures and opinions are celebrated. This is built upon shared rights, responsibilities and opportunities and underpinned by the shared British values that champion tolerance, </w:t>
      </w:r>
      <w:proofErr w:type="gramStart"/>
      <w:r w:rsidRPr="00C25DF4">
        <w:t>freedom</w:t>
      </w:r>
      <w:proofErr w:type="gramEnd"/>
      <w:r w:rsidRPr="00C25DF4">
        <w:t xml:space="preserve"> and equality of opportunity. </w:t>
      </w:r>
    </w:p>
    <w:p w14:paraId="4C2B9FC7" w14:textId="77777777" w:rsidR="00C25DF4" w:rsidRDefault="00C25DF4" w:rsidP="00C2062B">
      <w:pPr>
        <w:pStyle w:val="Style2"/>
        <w:numPr>
          <w:ilvl w:val="0"/>
          <w:numId w:val="0"/>
        </w:numPr>
        <w:ind w:left="1418"/>
      </w:pPr>
    </w:p>
    <w:p w14:paraId="2B71FB85" w14:textId="60984212" w:rsidR="00186922" w:rsidRPr="00C25DF4" w:rsidRDefault="00186922" w:rsidP="00C2062B">
      <w:pPr>
        <w:pStyle w:val="Style2"/>
        <w:ind w:left="1134"/>
      </w:pPr>
      <w:r w:rsidRPr="00C25DF4">
        <w:t>Integrated communities provide an important protective factor against the threat of terrorism, because of the association between support for divisive terrorist narratives and the deliberate rejection of strong and integrated societies. Marginalised communities who do not or cannot participate in civil society are more likely to be vulnerable to radicalisation.</w:t>
      </w:r>
    </w:p>
    <w:p w14:paraId="7F11EF41" w14:textId="5D257259" w:rsidR="00747B7B" w:rsidRDefault="00A35A9B" w:rsidP="00C2062B">
      <w:pPr>
        <w:pStyle w:val="Heading3"/>
        <w:ind w:left="1134"/>
      </w:pPr>
      <w:bookmarkStart w:id="31" w:name="_Toc110852492"/>
      <w:r w:rsidRPr="000C0777">
        <w:t>Understanding and recognising the risk</w:t>
      </w:r>
      <w:r>
        <w:t xml:space="preserve"> and i</w:t>
      </w:r>
      <w:r w:rsidRPr="009E263C">
        <w:t>dentifying vulnerable people</w:t>
      </w:r>
      <w:bookmarkEnd w:id="31"/>
    </w:p>
    <w:p w14:paraId="699DF30C" w14:textId="77777777" w:rsidR="00042121" w:rsidRPr="00042121" w:rsidRDefault="00042121" w:rsidP="00C2062B">
      <w:pPr>
        <w:pStyle w:val="Style2"/>
        <w:ind w:left="1134"/>
      </w:pPr>
      <w:r w:rsidRPr="00042121">
        <w:t xml:space="preserve">There is no such thing as a “typical extremist/terrorist” and those involved in extremism/terrorism come from a range of backgrounds and experiences. Children, young people and adults can be drawn into </w:t>
      </w:r>
      <w:proofErr w:type="gramStart"/>
      <w:r w:rsidRPr="00042121">
        <w:t>violence</w:t>
      </w:r>
      <w:proofErr w:type="gramEnd"/>
      <w:r w:rsidRPr="00042121">
        <w:t xml:space="preserve"> or they can be exposed to the messages of extremist groups by many means. These can include through the influence of family members or friends and/or direct contact with extremist groups and organisations or, increasingly, through the internet. This can put a person at risk of being drawn into criminal activity and has the potential to cause significant harm. Safeguarding people from all forms of radicalisation is no different to safeguarding them from other forms of harm and abuse. </w:t>
      </w:r>
    </w:p>
    <w:p w14:paraId="3D84FCF4" w14:textId="77777777" w:rsidR="00042121" w:rsidRDefault="00042121" w:rsidP="00C2062B">
      <w:pPr>
        <w:pStyle w:val="Style2"/>
        <w:numPr>
          <w:ilvl w:val="0"/>
          <w:numId w:val="0"/>
        </w:numPr>
        <w:ind w:left="1418"/>
      </w:pPr>
    </w:p>
    <w:p w14:paraId="747DD7CA" w14:textId="53A1A637" w:rsidR="00042121" w:rsidRDefault="00042121" w:rsidP="00C2062B">
      <w:pPr>
        <w:pStyle w:val="Style2"/>
        <w:ind w:left="1134"/>
      </w:pPr>
      <w:r w:rsidRPr="00042121">
        <w:t>The risk of radicalisation is the product of a number of factors and identifying this risk requires that staff exercise their professional judgement. The example indicators below are not exhaustive and vulnerability may manifest itself in other ways. There is no single route to terrorism nor is there a simple profile of those who become involved. For this reason, any attempt to derive a ‘profile’ can be misleading. It must not be assumed that these characteristics and experiences will necessarily lead to individuals becoming terrorists, or that these indicators are the only source of information required to make an appropriate assessment about vulnerability.</w:t>
      </w:r>
      <w:bookmarkStart w:id="32" w:name="risk"/>
      <w:bookmarkEnd w:id="32"/>
    </w:p>
    <w:p w14:paraId="662DA5E3" w14:textId="77777777" w:rsidR="00647C80" w:rsidRDefault="00647C80" w:rsidP="00C2062B">
      <w:pPr>
        <w:pStyle w:val="Style2"/>
        <w:numPr>
          <w:ilvl w:val="0"/>
          <w:numId w:val="0"/>
        </w:numPr>
        <w:ind w:left="1134"/>
      </w:pPr>
    </w:p>
    <w:p w14:paraId="743E2E77" w14:textId="73264664" w:rsidR="00AA308C" w:rsidRDefault="00AA308C" w:rsidP="00C2062B">
      <w:pPr>
        <w:pStyle w:val="Style2"/>
        <w:ind w:left="1134"/>
      </w:pPr>
      <w:r w:rsidRPr="009E263C">
        <w:t>Example indicators that an individual is engaged with an extremist group, cause or ideology include:</w:t>
      </w:r>
    </w:p>
    <w:p w14:paraId="62FFC53F" w14:textId="7A3C7F70" w:rsidR="00766EA3" w:rsidRPr="00766EA3" w:rsidRDefault="00766EA3" w:rsidP="00C2062B">
      <w:pPr>
        <w:pStyle w:val="ListParagraph"/>
        <w:widowControl w:val="0"/>
        <w:numPr>
          <w:ilvl w:val="0"/>
          <w:numId w:val="19"/>
        </w:numPr>
        <w:spacing w:before="0" w:after="120"/>
        <w:ind w:left="1418" w:hanging="284"/>
        <w:contextualSpacing w:val="0"/>
        <w:rPr>
          <w:rFonts w:ascii="Arial" w:hAnsi="Arial" w:cs="Arial"/>
          <w:bCs/>
        </w:rPr>
      </w:pPr>
      <w:r w:rsidRPr="00766EA3">
        <w:rPr>
          <w:rFonts w:ascii="Arial" w:hAnsi="Arial" w:cs="Arial"/>
          <w:bCs/>
        </w:rPr>
        <w:t>Spending increasing time in the company of other suspected extremists</w:t>
      </w:r>
      <w:r w:rsidR="00553B7A">
        <w:rPr>
          <w:rFonts w:ascii="Arial" w:hAnsi="Arial" w:cs="Arial"/>
          <w:bCs/>
        </w:rPr>
        <w:t>.</w:t>
      </w:r>
    </w:p>
    <w:p w14:paraId="093EE03A" w14:textId="41FF5D83" w:rsidR="00766EA3" w:rsidRPr="00766EA3" w:rsidRDefault="00766EA3" w:rsidP="00C2062B">
      <w:pPr>
        <w:pStyle w:val="ListParagraph"/>
        <w:widowControl w:val="0"/>
        <w:numPr>
          <w:ilvl w:val="0"/>
          <w:numId w:val="19"/>
        </w:numPr>
        <w:spacing w:before="0" w:after="120"/>
        <w:ind w:left="1418" w:hanging="284"/>
        <w:contextualSpacing w:val="0"/>
        <w:rPr>
          <w:rFonts w:ascii="Arial" w:hAnsi="Arial" w:cs="Arial"/>
          <w:bCs/>
        </w:rPr>
      </w:pPr>
      <w:r w:rsidRPr="00766EA3">
        <w:rPr>
          <w:rFonts w:ascii="Arial" w:hAnsi="Arial" w:cs="Arial"/>
          <w:bCs/>
        </w:rPr>
        <w:t>Changing their style of dress or personal appearance to accord with the group</w:t>
      </w:r>
      <w:r w:rsidR="00553B7A">
        <w:rPr>
          <w:rFonts w:ascii="Arial" w:hAnsi="Arial" w:cs="Arial"/>
          <w:bCs/>
        </w:rPr>
        <w:t>.</w:t>
      </w:r>
    </w:p>
    <w:p w14:paraId="4C2CB87B" w14:textId="05B9719A" w:rsidR="00766EA3" w:rsidRPr="00766EA3" w:rsidRDefault="00766EA3" w:rsidP="00C2062B">
      <w:pPr>
        <w:pStyle w:val="ListParagraph"/>
        <w:widowControl w:val="0"/>
        <w:numPr>
          <w:ilvl w:val="0"/>
          <w:numId w:val="19"/>
        </w:numPr>
        <w:spacing w:before="0" w:after="120"/>
        <w:ind w:left="1418" w:hanging="284"/>
        <w:contextualSpacing w:val="0"/>
        <w:rPr>
          <w:rFonts w:ascii="Arial" w:hAnsi="Arial" w:cs="Arial"/>
          <w:bCs/>
        </w:rPr>
      </w:pPr>
      <w:r w:rsidRPr="00766EA3">
        <w:rPr>
          <w:rFonts w:ascii="Arial" w:hAnsi="Arial" w:cs="Arial"/>
          <w:bCs/>
        </w:rPr>
        <w:t xml:space="preserve">Their day-to-day behaviour becoming increasingly centred around an extremist ideology, </w:t>
      </w:r>
      <w:proofErr w:type="gramStart"/>
      <w:r w:rsidRPr="00766EA3">
        <w:rPr>
          <w:rFonts w:ascii="Arial" w:hAnsi="Arial" w:cs="Arial"/>
          <w:bCs/>
        </w:rPr>
        <w:t>group</w:t>
      </w:r>
      <w:proofErr w:type="gramEnd"/>
      <w:r w:rsidRPr="00766EA3">
        <w:rPr>
          <w:rFonts w:ascii="Arial" w:hAnsi="Arial" w:cs="Arial"/>
          <w:bCs/>
        </w:rPr>
        <w:t xml:space="preserve"> or cause</w:t>
      </w:r>
      <w:r w:rsidR="00553B7A">
        <w:rPr>
          <w:rFonts w:ascii="Arial" w:hAnsi="Arial" w:cs="Arial"/>
          <w:bCs/>
        </w:rPr>
        <w:t>.</w:t>
      </w:r>
    </w:p>
    <w:p w14:paraId="6AAE355A" w14:textId="7ACA1AA1" w:rsidR="00766EA3" w:rsidRPr="00766EA3" w:rsidRDefault="00766EA3" w:rsidP="00C2062B">
      <w:pPr>
        <w:pStyle w:val="ListParagraph"/>
        <w:widowControl w:val="0"/>
        <w:numPr>
          <w:ilvl w:val="0"/>
          <w:numId w:val="19"/>
        </w:numPr>
        <w:spacing w:before="0" w:after="120"/>
        <w:ind w:left="1418" w:hanging="284"/>
        <w:contextualSpacing w:val="0"/>
        <w:rPr>
          <w:rFonts w:ascii="Arial" w:hAnsi="Arial" w:cs="Arial"/>
          <w:bCs/>
        </w:rPr>
      </w:pPr>
      <w:r w:rsidRPr="00766EA3">
        <w:rPr>
          <w:rFonts w:ascii="Arial" w:hAnsi="Arial" w:cs="Arial"/>
          <w:bCs/>
        </w:rPr>
        <w:t xml:space="preserve">Loss of interest in other friends and activities not associated with the extremist ideology, </w:t>
      </w:r>
      <w:proofErr w:type="gramStart"/>
      <w:r w:rsidRPr="00766EA3">
        <w:rPr>
          <w:rFonts w:ascii="Arial" w:hAnsi="Arial" w:cs="Arial"/>
          <w:bCs/>
        </w:rPr>
        <w:t>group</w:t>
      </w:r>
      <w:proofErr w:type="gramEnd"/>
      <w:r w:rsidRPr="00766EA3">
        <w:rPr>
          <w:rFonts w:ascii="Arial" w:hAnsi="Arial" w:cs="Arial"/>
          <w:bCs/>
        </w:rPr>
        <w:t xml:space="preserve"> or cause</w:t>
      </w:r>
      <w:r w:rsidR="00553B7A">
        <w:rPr>
          <w:rFonts w:ascii="Arial" w:hAnsi="Arial" w:cs="Arial"/>
          <w:bCs/>
        </w:rPr>
        <w:t>.</w:t>
      </w:r>
    </w:p>
    <w:p w14:paraId="3841A266" w14:textId="7E781FB7" w:rsidR="00766EA3" w:rsidRPr="00766EA3" w:rsidRDefault="00766EA3" w:rsidP="00C2062B">
      <w:pPr>
        <w:pStyle w:val="ListParagraph"/>
        <w:widowControl w:val="0"/>
        <w:numPr>
          <w:ilvl w:val="0"/>
          <w:numId w:val="19"/>
        </w:numPr>
        <w:spacing w:before="0" w:after="120"/>
        <w:ind w:left="1418" w:hanging="284"/>
        <w:contextualSpacing w:val="0"/>
        <w:rPr>
          <w:rFonts w:ascii="Arial" w:hAnsi="Arial" w:cs="Arial"/>
          <w:bCs/>
        </w:rPr>
      </w:pPr>
      <w:r w:rsidRPr="00766EA3">
        <w:rPr>
          <w:rFonts w:ascii="Arial" w:hAnsi="Arial" w:cs="Arial"/>
          <w:bCs/>
        </w:rPr>
        <w:t>Possession of material or symbols associated with an extremist cause (</w:t>
      </w:r>
      <w:proofErr w:type="gramStart"/>
      <w:r w:rsidRPr="00766EA3">
        <w:rPr>
          <w:rFonts w:ascii="Arial" w:hAnsi="Arial" w:cs="Arial"/>
          <w:bCs/>
        </w:rPr>
        <w:t>e.g.</w:t>
      </w:r>
      <w:proofErr w:type="gramEnd"/>
      <w:r w:rsidRPr="00766EA3">
        <w:rPr>
          <w:rFonts w:ascii="Arial" w:hAnsi="Arial" w:cs="Arial"/>
          <w:bCs/>
        </w:rPr>
        <w:t xml:space="preserve"> the swastika for far-right groups)</w:t>
      </w:r>
      <w:r w:rsidR="00553B7A">
        <w:rPr>
          <w:rFonts w:ascii="Arial" w:hAnsi="Arial" w:cs="Arial"/>
          <w:bCs/>
        </w:rPr>
        <w:t>.</w:t>
      </w:r>
    </w:p>
    <w:p w14:paraId="490001B0" w14:textId="166D6E9A" w:rsidR="00766EA3" w:rsidRPr="00766EA3" w:rsidRDefault="00766EA3" w:rsidP="00C2062B">
      <w:pPr>
        <w:pStyle w:val="ListParagraph"/>
        <w:widowControl w:val="0"/>
        <w:numPr>
          <w:ilvl w:val="0"/>
          <w:numId w:val="19"/>
        </w:numPr>
        <w:spacing w:before="0" w:after="120"/>
        <w:ind w:left="1418" w:hanging="284"/>
        <w:contextualSpacing w:val="0"/>
        <w:rPr>
          <w:rFonts w:ascii="Arial" w:hAnsi="Arial" w:cs="Arial"/>
          <w:bCs/>
        </w:rPr>
      </w:pPr>
      <w:r w:rsidRPr="00766EA3">
        <w:rPr>
          <w:rFonts w:ascii="Arial" w:hAnsi="Arial" w:cs="Arial"/>
          <w:bCs/>
        </w:rPr>
        <w:t>Attempts to recruit others to the group/cause/ideology</w:t>
      </w:r>
      <w:r w:rsidR="00553B7A">
        <w:rPr>
          <w:rFonts w:ascii="Arial" w:hAnsi="Arial" w:cs="Arial"/>
          <w:bCs/>
        </w:rPr>
        <w:t>.</w:t>
      </w:r>
    </w:p>
    <w:p w14:paraId="204DA697" w14:textId="77777777" w:rsidR="00766EA3" w:rsidRPr="00766EA3" w:rsidRDefault="00766EA3" w:rsidP="00C2062B">
      <w:pPr>
        <w:pStyle w:val="ListParagraph"/>
        <w:widowControl w:val="0"/>
        <w:numPr>
          <w:ilvl w:val="0"/>
          <w:numId w:val="19"/>
        </w:numPr>
        <w:spacing w:before="0" w:after="0"/>
        <w:ind w:left="1418" w:hanging="284"/>
        <w:rPr>
          <w:rFonts w:ascii="Arial" w:hAnsi="Arial" w:cs="Arial"/>
          <w:bCs/>
        </w:rPr>
      </w:pPr>
      <w:r w:rsidRPr="00766EA3">
        <w:rPr>
          <w:rFonts w:ascii="Arial" w:hAnsi="Arial" w:cs="Arial"/>
          <w:bCs/>
        </w:rPr>
        <w:t>Communications with others that suggest identification with a group/cause/ideology.</w:t>
      </w:r>
    </w:p>
    <w:p w14:paraId="38735438" w14:textId="77777777" w:rsidR="00791502" w:rsidRPr="009E263C" w:rsidRDefault="00791502" w:rsidP="00C2062B">
      <w:pPr>
        <w:pStyle w:val="Style2"/>
        <w:ind w:left="1134"/>
      </w:pPr>
      <w:r w:rsidRPr="009E263C">
        <w:t>Example indicators that an individual has an intention to use violence or other illegal means include:</w:t>
      </w:r>
    </w:p>
    <w:p w14:paraId="3B72C9E7" w14:textId="14B3A3AA" w:rsidR="00791502" w:rsidRPr="008F2E7F" w:rsidRDefault="00791502" w:rsidP="00C2062B">
      <w:pPr>
        <w:pStyle w:val="ListParagraph"/>
        <w:widowControl w:val="0"/>
        <w:numPr>
          <w:ilvl w:val="0"/>
          <w:numId w:val="19"/>
        </w:numPr>
        <w:spacing w:before="0" w:after="120"/>
        <w:ind w:left="1418" w:hanging="284"/>
        <w:contextualSpacing w:val="0"/>
        <w:rPr>
          <w:rFonts w:ascii="Arial" w:hAnsi="Arial" w:cs="Arial"/>
          <w:bCs/>
        </w:rPr>
      </w:pPr>
      <w:r w:rsidRPr="008F2E7F">
        <w:rPr>
          <w:rFonts w:ascii="Arial" w:hAnsi="Arial" w:cs="Arial"/>
          <w:bCs/>
        </w:rPr>
        <w:t>Clearly identifying another group as threatening what they stand for and blaming that group for all social or political ill</w:t>
      </w:r>
      <w:r w:rsidR="00553B7A">
        <w:rPr>
          <w:rFonts w:ascii="Arial" w:hAnsi="Arial" w:cs="Arial"/>
          <w:bCs/>
        </w:rPr>
        <w:t>s.</w:t>
      </w:r>
    </w:p>
    <w:p w14:paraId="3DB8696D" w14:textId="405D4883" w:rsidR="00791502" w:rsidRPr="008F2E7F" w:rsidRDefault="00791502" w:rsidP="00C2062B">
      <w:pPr>
        <w:pStyle w:val="ListParagraph"/>
        <w:widowControl w:val="0"/>
        <w:numPr>
          <w:ilvl w:val="0"/>
          <w:numId w:val="19"/>
        </w:numPr>
        <w:spacing w:before="0" w:after="120"/>
        <w:ind w:left="1418" w:hanging="284"/>
        <w:contextualSpacing w:val="0"/>
        <w:rPr>
          <w:rFonts w:ascii="Arial" w:hAnsi="Arial" w:cs="Arial"/>
          <w:bCs/>
        </w:rPr>
      </w:pPr>
      <w:r w:rsidRPr="008F2E7F">
        <w:rPr>
          <w:rFonts w:ascii="Arial" w:hAnsi="Arial" w:cs="Arial"/>
          <w:bCs/>
        </w:rPr>
        <w:t>Using insulting or derogatory names or labels for another group</w:t>
      </w:r>
      <w:r w:rsidR="00553B7A">
        <w:rPr>
          <w:rFonts w:ascii="Arial" w:hAnsi="Arial" w:cs="Arial"/>
          <w:bCs/>
        </w:rPr>
        <w:t>.</w:t>
      </w:r>
    </w:p>
    <w:p w14:paraId="66B15183" w14:textId="6732A8E6" w:rsidR="00791502" w:rsidRPr="008F2E7F" w:rsidRDefault="00791502" w:rsidP="00C2062B">
      <w:pPr>
        <w:pStyle w:val="ListParagraph"/>
        <w:widowControl w:val="0"/>
        <w:numPr>
          <w:ilvl w:val="0"/>
          <w:numId w:val="19"/>
        </w:numPr>
        <w:spacing w:before="0" w:after="120"/>
        <w:ind w:left="1418" w:hanging="284"/>
        <w:contextualSpacing w:val="0"/>
        <w:rPr>
          <w:rFonts w:ascii="Arial" w:hAnsi="Arial" w:cs="Arial"/>
          <w:bCs/>
        </w:rPr>
      </w:pPr>
      <w:r w:rsidRPr="008F2E7F">
        <w:rPr>
          <w:rFonts w:ascii="Arial" w:hAnsi="Arial" w:cs="Arial"/>
          <w:bCs/>
        </w:rPr>
        <w:t>Speaking about the imminence of harm from the other group and the importance of action now</w:t>
      </w:r>
      <w:r w:rsidR="00553B7A">
        <w:rPr>
          <w:rFonts w:ascii="Arial" w:hAnsi="Arial" w:cs="Arial"/>
          <w:bCs/>
        </w:rPr>
        <w:t>.</w:t>
      </w:r>
    </w:p>
    <w:p w14:paraId="3B910367" w14:textId="4931060F" w:rsidR="00791502" w:rsidRPr="008F2E7F" w:rsidRDefault="00791502" w:rsidP="00C2062B">
      <w:pPr>
        <w:pStyle w:val="ListParagraph"/>
        <w:widowControl w:val="0"/>
        <w:numPr>
          <w:ilvl w:val="0"/>
          <w:numId w:val="19"/>
        </w:numPr>
        <w:spacing w:before="0" w:after="120"/>
        <w:ind w:left="1418" w:hanging="284"/>
        <w:contextualSpacing w:val="0"/>
        <w:rPr>
          <w:rFonts w:ascii="Arial" w:hAnsi="Arial" w:cs="Arial"/>
          <w:bCs/>
        </w:rPr>
      </w:pPr>
      <w:r w:rsidRPr="008F2E7F">
        <w:rPr>
          <w:rFonts w:ascii="Arial" w:hAnsi="Arial" w:cs="Arial"/>
          <w:bCs/>
        </w:rPr>
        <w:t xml:space="preserve">Expressing attitudes that justify offending on behalf of the group, </w:t>
      </w:r>
      <w:proofErr w:type="gramStart"/>
      <w:r w:rsidRPr="008F2E7F">
        <w:rPr>
          <w:rFonts w:ascii="Arial" w:hAnsi="Arial" w:cs="Arial"/>
          <w:bCs/>
        </w:rPr>
        <w:t>cause</w:t>
      </w:r>
      <w:proofErr w:type="gramEnd"/>
      <w:r w:rsidRPr="008F2E7F">
        <w:rPr>
          <w:rFonts w:ascii="Arial" w:hAnsi="Arial" w:cs="Arial"/>
          <w:bCs/>
        </w:rPr>
        <w:t xml:space="preserve"> or ideology</w:t>
      </w:r>
      <w:r w:rsidR="00553B7A">
        <w:rPr>
          <w:rFonts w:ascii="Arial" w:hAnsi="Arial" w:cs="Arial"/>
          <w:bCs/>
        </w:rPr>
        <w:t>.</w:t>
      </w:r>
    </w:p>
    <w:p w14:paraId="453C6713" w14:textId="4E4469ED" w:rsidR="00791502" w:rsidRPr="009E263C" w:rsidRDefault="00791502" w:rsidP="00C2062B">
      <w:pPr>
        <w:pStyle w:val="ListParagraph"/>
        <w:widowControl w:val="0"/>
        <w:numPr>
          <w:ilvl w:val="0"/>
          <w:numId w:val="19"/>
        </w:numPr>
        <w:spacing w:before="0" w:after="120"/>
        <w:ind w:left="1418" w:hanging="284"/>
        <w:contextualSpacing w:val="0"/>
        <w:rPr>
          <w:rFonts w:ascii="Arial" w:hAnsi="Arial" w:cs="Arial"/>
          <w:bCs/>
        </w:rPr>
      </w:pPr>
      <w:r w:rsidRPr="009E263C">
        <w:rPr>
          <w:rFonts w:ascii="Arial" w:hAnsi="Arial" w:cs="Arial"/>
          <w:bCs/>
        </w:rPr>
        <w:t>Condoning or supporting violence or harm towards others</w:t>
      </w:r>
      <w:r w:rsidR="00553B7A">
        <w:rPr>
          <w:rFonts w:ascii="Arial" w:hAnsi="Arial" w:cs="Arial"/>
          <w:bCs/>
        </w:rPr>
        <w:t>.</w:t>
      </w:r>
    </w:p>
    <w:p w14:paraId="394B29E1" w14:textId="79191CD6" w:rsidR="00791502" w:rsidRDefault="00791502" w:rsidP="00C2062B">
      <w:pPr>
        <w:pStyle w:val="ListParagraph"/>
        <w:widowControl w:val="0"/>
        <w:numPr>
          <w:ilvl w:val="0"/>
          <w:numId w:val="19"/>
        </w:numPr>
        <w:spacing w:before="0" w:after="0"/>
        <w:ind w:left="1418" w:hanging="284"/>
        <w:rPr>
          <w:rFonts w:ascii="Arial" w:hAnsi="Arial" w:cs="Arial"/>
          <w:bCs/>
        </w:rPr>
      </w:pPr>
      <w:r w:rsidRPr="009E263C">
        <w:rPr>
          <w:rFonts w:ascii="Arial" w:hAnsi="Arial" w:cs="Arial"/>
          <w:bCs/>
        </w:rPr>
        <w:t>Plotting or conspiring with others</w:t>
      </w:r>
      <w:r w:rsidR="00553B7A">
        <w:rPr>
          <w:rFonts w:ascii="Arial" w:hAnsi="Arial" w:cs="Arial"/>
          <w:bCs/>
        </w:rPr>
        <w:t>.</w:t>
      </w:r>
    </w:p>
    <w:p w14:paraId="3D6F188D" w14:textId="77777777" w:rsidR="00094E08" w:rsidRPr="009E263C" w:rsidRDefault="00094E08" w:rsidP="00C2062B">
      <w:pPr>
        <w:pStyle w:val="Style2"/>
        <w:ind w:left="1134"/>
      </w:pPr>
      <w:r w:rsidRPr="009E263C">
        <w:t>Example indicators that an individual is capable of contributing directly or indirectly to an act of terrorism include:</w:t>
      </w:r>
    </w:p>
    <w:p w14:paraId="6A0DB1A3" w14:textId="2A0F65FA" w:rsidR="00094E08" w:rsidRPr="007E3E48" w:rsidRDefault="00094E08" w:rsidP="00C2062B">
      <w:pPr>
        <w:pStyle w:val="ListParagraph"/>
        <w:widowControl w:val="0"/>
        <w:numPr>
          <w:ilvl w:val="0"/>
          <w:numId w:val="19"/>
        </w:numPr>
        <w:spacing w:before="0" w:after="120"/>
        <w:ind w:left="1418" w:hanging="284"/>
        <w:contextualSpacing w:val="0"/>
        <w:rPr>
          <w:rFonts w:ascii="Arial" w:hAnsi="Arial" w:cs="Arial"/>
          <w:bCs/>
        </w:rPr>
      </w:pPr>
      <w:r w:rsidRPr="007E3E48">
        <w:rPr>
          <w:rFonts w:ascii="Arial" w:hAnsi="Arial" w:cs="Arial"/>
          <w:bCs/>
        </w:rPr>
        <w:t>Having a history of violence</w:t>
      </w:r>
      <w:r w:rsidR="00553B7A">
        <w:rPr>
          <w:rFonts w:ascii="Arial" w:hAnsi="Arial" w:cs="Arial"/>
          <w:bCs/>
        </w:rPr>
        <w:t>.</w:t>
      </w:r>
    </w:p>
    <w:p w14:paraId="2A64A0F1" w14:textId="172469DC" w:rsidR="00094E08" w:rsidRPr="007E3E48" w:rsidRDefault="00094E08" w:rsidP="00C2062B">
      <w:pPr>
        <w:pStyle w:val="ListParagraph"/>
        <w:widowControl w:val="0"/>
        <w:numPr>
          <w:ilvl w:val="0"/>
          <w:numId w:val="19"/>
        </w:numPr>
        <w:spacing w:before="0" w:after="120"/>
        <w:ind w:left="1418" w:hanging="284"/>
        <w:contextualSpacing w:val="0"/>
        <w:rPr>
          <w:rFonts w:ascii="Arial" w:hAnsi="Arial" w:cs="Arial"/>
          <w:bCs/>
        </w:rPr>
      </w:pPr>
      <w:r w:rsidRPr="007E3E48">
        <w:rPr>
          <w:rFonts w:ascii="Arial" w:hAnsi="Arial" w:cs="Arial"/>
          <w:bCs/>
        </w:rPr>
        <w:t>Being criminally versatile and using criminal networks to support extremist goal</w:t>
      </w:r>
      <w:r w:rsidR="00553B7A">
        <w:rPr>
          <w:rFonts w:ascii="Arial" w:hAnsi="Arial" w:cs="Arial"/>
          <w:bCs/>
        </w:rPr>
        <w:t>s.</w:t>
      </w:r>
    </w:p>
    <w:p w14:paraId="717F1883" w14:textId="324AB414" w:rsidR="00094E08" w:rsidRPr="007E3E48" w:rsidRDefault="00094E08" w:rsidP="00C2062B">
      <w:pPr>
        <w:pStyle w:val="ListParagraph"/>
        <w:widowControl w:val="0"/>
        <w:numPr>
          <w:ilvl w:val="0"/>
          <w:numId w:val="19"/>
        </w:numPr>
        <w:spacing w:before="0" w:after="120"/>
        <w:ind w:left="1418" w:hanging="284"/>
        <w:contextualSpacing w:val="0"/>
        <w:rPr>
          <w:rFonts w:ascii="Arial" w:hAnsi="Arial" w:cs="Arial"/>
          <w:bCs/>
        </w:rPr>
      </w:pPr>
      <w:r w:rsidRPr="007E3E48">
        <w:rPr>
          <w:rFonts w:ascii="Arial" w:hAnsi="Arial" w:cs="Arial"/>
          <w:bCs/>
        </w:rPr>
        <w:t xml:space="preserve">Having occupational skills that can enable acts of terrorism (such as civil engineering, </w:t>
      </w:r>
      <w:proofErr w:type="gramStart"/>
      <w:r w:rsidRPr="007E3E48">
        <w:rPr>
          <w:rFonts w:ascii="Arial" w:hAnsi="Arial" w:cs="Arial"/>
          <w:bCs/>
        </w:rPr>
        <w:t>pharmacology</w:t>
      </w:r>
      <w:proofErr w:type="gramEnd"/>
      <w:r w:rsidRPr="007E3E48">
        <w:rPr>
          <w:rFonts w:ascii="Arial" w:hAnsi="Arial" w:cs="Arial"/>
          <w:bCs/>
        </w:rPr>
        <w:t xml:space="preserve"> or construction)</w:t>
      </w:r>
      <w:r w:rsidR="00553B7A">
        <w:rPr>
          <w:rFonts w:ascii="Arial" w:hAnsi="Arial" w:cs="Arial"/>
          <w:bCs/>
        </w:rPr>
        <w:t>.</w:t>
      </w:r>
    </w:p>
    <w:p w14:paraId="33DC4710" w14:textId="77777777" w:rsidR="00094E08" w:rsidRPr="007E3E48" w:rsidRDefault="00094E08" w:rsidP="00C2062B">
      <w:pPr>
        <w:pStyle w:val="ListParagraph"/>
        <w:widowControl w:val="0"/>
        <w:numPr>
          <w:ilvl w:val="0"/>
          <w:numId w:val="19"/>
        </w:numPr>
        <w:spacing w:before="0" w:after="0"/>
        <w:ind w:left="1418" w:hanging="284"/>
        <w:rPr>
          <w:rFonts w:ascii="Arial" w:hAnsi="Arial" w:cs="Arial"/>
          <w:bCs/>
        </w:rPr>
      </w:pPr>
      <w:r w:rsidRPr="007E3E48">
        <w:rPr>
          <w:rFonts w:ascii="Arial" w:hAnsi="Arial" w:cs="Arial"/>
          <w:bCs/>
        </w:rPr>
        <w:t>Having technical expertise that can be deployed (</w:t>
      </w:r>
      <w:proofErr w:type="gramStart"/>
      <w:r w:rsidRPr="007E3E48">
        <w:rPr>
          <w:rFonts w:ascii="Arial" w:hAnsi="Arial" w:cs="Arial"/>
          <w:bCs/>
        </w:rPr>
        <w:t>e.g.</w:t>
      </w:r>
      <w:proofErr w:type="gramEnd"/>
      <w:r w:rsidRPr="007E3E48">
        <w:rPr>
          <w:rFonts w:ascii="Arial" w:hAnsi="Arial" w:cs="Arial"/>
          <w:bCs/>
        </w:rPr>
        <w:t xml:space="preserve"> IT skills, knowledge of chemicals, military training or survival skills).</w:t>
      </w:r>
    </w:p>
    <w:p w14:paraId="273B7728" w14:textId="55FDA3BE" w:rsidR="005A3A8B" w:rsidRDefault="005A3A8B" w:rsidP="00C2062B">
      <w:pPr>
        <w:pStyle w:val="Heading3"/>
        <w:ind w:left="1134"/>
      </w:pPr>
      <w:bookmarkStart w:id="33" w:name="_Toc110852493"/>
      <w:r w:rsidRPr="005A3A8B">
        <w:t>Consent</w:t>
      </w:r>
      <w:bookmarkEnd w:id="33"/>
    </w:p>
    <w:p w14:paraId="7C9F630D" w14:textId="77777777" w:rsidR="00D658C6" w:rsidRPr="00D36AD6" w:rsidRDefault="00D658C6" w:rsidP="00C2062B">
      <w:pPr>
        <w:pStyle w:val="Style2"/>
        <w:ind w:left="1134"/>
      </w:pPr>
      <w:r w:rsidRPr="00D36AD6">
        <w:t>People who are vulnerable to violent extremism or radicalisation are more likely to be reached by supportive services if issues of consent are handled with sensitivity and an informed understanding of the issues.</w:t>
      </w:r>
      <w:r>
        <w:t xml:space="preserve"> </w:t>
      </w:r>
      <w:r w:rsidRPr="00D36AD6">
        <w:t xml:space="preserve">Before making a referral, practitioners should respond as we would to all concerns, by clarifying the information. </w:t>
      </w:r>
    </w:p>
    <w:p w14:paraId="1283ADA2" w14:textId="77777777" w:rsidR="00D658C6" w:rsidRDefault="00D658C6" w:rsidP="00C2062B">
      <w:pPr>
        <w:pStyle w:val="Style2"/>
        <w:numPr>
          <w:ilvl w:val="0"/>
          <w:numId w:val="0"/>
        </w:numPr>
        <w:ind w:left="1418"/>
      </w:pPr>
    </w:p>
    <w:p w14:paraId="080B4EC4" w14:textId="79782DD8" w:rsidR="00D658C6" w:rsidRPr="00D36AD6" w:rsidRDefault="00D658C6" w:rsidP="00C2062B">
      <w:pPr>
        <w:pStyle w:val="Style2"/>
        <w:ind w:left="1134"/>
      </w:pPr>
      <w:r w:rsidRPr="00D36AD6">
        <w:t xml:space="preserve">For children this will ordinarily involve talking to the child/young person and their family (unless the family is implicated in potential extremism), and to other professionals working with the child/young person. Any referral should be made with the young person/family’s knowledge and consent, unless to do so would place the child/young person at risk of harm.  </w:t>
      </w:r>
    </w:p>
    <w:p w14:paraId="7EE6AAC1" w14:textId="77777777" w:rsidR="00D658C6" w:rsidRDefault="00D658C6" w:rsidP="00C2062B">
      <w:pPr>
        <w:pStyle w:val="Style2"/>
        <w:numPr>
          <w:ilvl w:val="0"/>
          <w:numId w:val="0"/>
        </w:numPr>
        <w:ind w:left="1418"/>
      </w:pPr>
    </w:p>
    <w:p w14:paraId="11EB1FE6" w14:textId="0477B1A5" w:rsidR="00D658C6" w:rsidRPr="00D36AD6" w:rsidRDefault="00D658C6" w:rsidP="00C2062B">
      <w:pPr>
        <w:pStyle w:val="Style2"/>
        <w:ind w:left="1134"/>
      </w:pPr>
      <w:r w:rsidRPr="00D36AD6">
        <w:t xml:space="preserve">For adults (over 18 years old) practitioners should seek the consent of the person who may be at risk of extremism or radicalisation before </w:t>
      </w:r>
      <w:proofErr w:type="gramStart"/>
      <w:r w:rsidRPr="00D36AD6">
        <w:t>taking action</w:t>
      </w:r>
      <w:proofErr w:type="gramEnd"/>
      <w:r w:rsidRPr="00D36AD6">
        <w:t xml:space="preserve"> or sharing information.  In some cases, where a person refuses consent, information can still lawfully be shared if it is in the public interest to do so. This may include protecting someone from serious harm or preventing crime and disorder. </w:t>
      </w:r>
    </w:p>
    <w:p w14:paraId="7B141C83" w14:textId="77777777" w:rsidR="00D658C6" w:rsidRDefault="00D658C6" w:rsidP="00C2062B">
      <w:pPr>
        <w:pStyle w:val="Style2"/>
        <w:numPr>
          <w:ilvl w:val="0"/>
          <w:numId w:val="0"/>
        </w:numPr>
        <w:ind w:left="1418"/>
      </w:pPr>
    </w:p>
    <w:p w14:paraId="42CC2931" w14:textId="5159BF7E" w:rsidR="00D658C6" w:rsidRPr="00D36AD6" w:rsidRDefault="00D658C6" w:rsidP="00C2062B">
      <w:pPr>
        <w:pStyle w:val="Style2"/>
        <w:ind w:left="1134"/>
      </w:pPr>
      <w:r w:rsidRPr="00D36AD6">
        <w:t>When there are grounds to doubt the capacity of those aged 16 and over</w:t>
      </w:r>
      <w:r>
        <w:t>,</w:t>
      </w:r>
      <w:r w:rsidRPr="00D36AD6">
        <w:t xml:space="preserve"> steps need to be taken to provide support to enable an informed decision is made whether to consent to work with the Channel Panel. Please refer to the </w:t>
      </w:r>
      <w:hyperlink r:id="rId8" w:history="1">
        <w:r w:rsidRPr="00D36AD6">
          <w:rPr>
            <w:rStyle w:val="Hyperlink"/>
            <w:rFonts w:ascii="Arial" w:hAnsi="Arial" w:cs="Arial"/>
            <w:bCs/>
          </w:rPr>
          <w:t>Mental Capacity Act 2005</w:t>
        </w:r>
      </w:hyperlink>
      <w:r w:rsidRPr="00D36AD6">
        <w:t xml:space="preserve"> for further information.</w:t>
      </w:r>
    </w:p>
    <w:p w14:paraId="65C487C7" w14:textId="7696C029" w:rsidR="0094762C" w:rsidRDefault="0094762C" w:rsidP="00C2062B">
      <w:pPr>
        <w:pStyle w:val="Heading3"/>
        <w:ind w:left="1134"/>
      </w:pPr>
      <w:bookmarkStart w:id="34" w:name="_Toc110852494"/>
      <w:r>
        <w:t>Prevent and Channel referral process</w:t>
      </w:r>
      <w:bookmarkEnd w:id="34"/>
      <w:r>
        <w:t xml:space="preserve"> </w:t>
      </w:r>
    </w:p>
    <w:p w14:paraId="0B89AB00" w14:textId="77777777" w:rsidR="00FD4938" w:rsidRPr="00FD4938" w:rsidRDefault="00FD4938" w:rsidP="00C2062B">
      <w:pPr>
        <w:pStyle w:val="Style2"/>
        <w:ind w:left="1134"/>
      </w:pPr>
      <w:r w:rsidRPr="00FD4938">
        <w:t>Concerns that an individual may be vulnerable to radicalisation do not mean that you think the person is a terrorist, it means that you are concerned they are prone to being exploited by others and thus, is a safeguarding concern. Safeguarding vulnerable people from radicalisation is no different to safeguarding them from other forms of potential harm.</w:t>
      </w:r>
    </w:p>
    <w:p w14:paraId="1056C960" w14:textId="20624DFC" w:rsidR="0094762C" w:rsidRDefault="00517A66" w:rsidP="00D44C21">
      <w:pPr>
        <w:ind w:hanging="1134"/>
      </w:pPr>
      <w:r w:rsidRPr="00C23B2F">
        <w:rPr>
          <w:rFonts w:ascii="Arial" w:hAnsi="Arial" w:cs="Arial"/>
          <w:b/>
          <w:noProof/>
        </w:rPr>
        <w:drawing>
          <wp:inline distT="0" distB="0" distL="0" distR="0" wp14:anchorId="0CAFE40A" wp14:editId="38903FE6">
            <wp:extent cx="6073442" cy="3158066"/>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2589" cy="3162822"/>
                    </a:xfrm>
                    <a:prstGeom prst="rect">
                      <a:avLst/>
                    </a:prstGeom>
                    <a:noFill/>
                    <a:ln>
                      <a:noFill/>
                    </a:ln>
                  </pic:spPr>
                </pic:pic>
              </a:graphicData>
            </a:graphic>
          </wp:inline>
        </w:drawing>
      </w:r>
    </w:p>
    <w:p w14:paraId="072CAA4E" w14:textId="77777777" w:rsidR="00D44C21" w:rsidRDefault="00D44C21" w:rsidP="00D44C21">
      <w:pPr>
        <w:pStyle w:val="Style2"/>
        <w:numPr>
          <w:ilvl w:val="0"/>
          <w:numId w:val="0"/>
        </w:numPr>
        <w:ind w:left="1134"/>
      </w:pPr>
    </w:p>
    <w:p w14:paraId="732B7EFB" w14:textId="66C74EF3" w:rsidR="00B915BD" w:rsidRDefault="00B915BD" w:rsidP="00C2062B">
      <w:pPr>
        <w:pStyle w:val="Style2"/>
        <w:ind w:left="1134"/>
      </w:pPr>
      <w:r w:rsidRPr="005727DF">
        <w:t xml:space="preserve">There are several ways to seek advice: </w:t>
      </w:r>
    </w:p>
    <w:p w14:paraId="41D16E26" w14:textId="0EB14B5A" w:rsidR="00836E35" w:rsidRPr="00BC37D3" w:rsidRDefault="00836E35" w:rsidP="00D44C21">
      <w:pPr>
        <w:pStyle w:val="ListParagraph"/>
        <w:widowControl w:val="0"/>
        <w:numPr>
          <w:ilvl w:val="0"/>
          <w:numId w:val="19"/>
        </w:numPr>
        <w:spacing w:before="0" w:after="120"/>
        <w:ind w:left="1418" w:hanging="284"/>
        <w:contextualSpacing w:val="0"/>
        <w:rPr>
          <w:rFonts w:ascii="Arial" w:hAnsi="Arial" w:cs="Arial"/>
          <w:bCs/>
        </w:rPr>
      </w:pPr>
      <w:r w:rsidRPr="00BC37D3">
        <w:rPr>
          <w:rFonts w:ascii="Arial" w:hAnsi="Arial" w:cs="Arial"/>
          <w:bCs/>
        </w:rPr>
        <w:t xml:space="preserve">Speak to the </w:t>
      </w:r>
      <w:bookmarkStart w:id="35" w:name="_Hlk88059398"/>
      <w:r w:rsidR="00553B7A">
        <w:rPr>
          <w:rFonts w:ascii="Arial" w:hAnsi="Arial" w:cs="Arial"/>
          <w:bCs/>
        </w:rPr>
        <w:t>ICB</w:t>
      </w:r>
      <w:r w:rsidRPr="00BC37D3">
        <w:rPr>
          <w:rFonts w:ascii="Arial" w:hAnsi="Arial" w:cs="Arial"/>
          <w:bCs/>
        </w:rPr>
        <w:t xml:space="preserve"> Safeguarding Team</w:t>
      </w:r>
      <w:bookmarkEnd w:id="35"/>
      <w:r w:rsidR="00553B7A">
        <w:rPr>
          <w:rFonts w:ascii="Arial" w:hAnsi="Arial" w:cs="Arial"/>
          <w:bCs/>
        </w:rPr>
        <w:t>.</w:t>
      </w:r>
    </w:p>
    <w:p w14:paraId="1A7B7821" w14:textId="2F7CC25F" w:rsidR="00836E35" w:rsidRPr="00BC37D3" w:rsidRDefault="00836E35" w:rsidP="00D44C21">
      <w:pPr>
        <w:pStyle w:val="ListParagraph"/>
        <w:widowControl w:val="0"/>
        <w:numPr>
          <w:ilvl w:val="0"/>
          <w:numId w:val="19"/>
        </w:numPr>
        <w:spacing w:before="0" w:after="120"/>
        <w:ind w:left="1418" w:hanging="284"/>
        <w:contextualSpacing w:val="0"/>
        <w:rPr>
          <w:rFonts w:ascii="Arial" w:hAnsi="Arial" w:cs="Arial"/>
          <w:bCs/>
        </w:rPr>
      </w:pPr>
      <w:r w:rsidRPr="00BC37D3">
        <w:rPr>
          <w:rFonts w:ascii="Arial" w:hAnsi="Arial" w:cs="Arial"/>
          <w:bCs/>
        </w:rPr>
        <w:t>Call 101 and state that you would like advice on a Prevent issue</w:t>
      </w:r>
      <w:r w:rsidR="00553B7A">
        <w:rPr>
          <w:rFonts w:ascii="Arial" w:hAnsi="Arial" w:cs="Arial"/>
          <w:bCs/>
        </w:rPr>
        <w:t>.</w:t>
      </w:r>
    </w:p>
    <w:p w14:paraId="0DBC590B" w14:textId="60398D5A" w:rsidR="00836E35" w:rsidRPr="00BC37D3" w:rsidRDefault="00836E35" w:rsidP="00D44C21">
      <w:pPr>
        <w:pStyle w:val="ListParagraph"/>
        <w:widowControl w:val="0"/>
        <w:numPr>
          <w:ilvl w:val="0"/>
          <w:numId w:val="19"/>
        </w:numPr>
        <w:spacing w:before="0" w:after="120"/>
        <w:ind w:left="1418" w:hanging="284"/>
        <w:contextualSpacing w:val="0"/>
        <w:rPr>
          <w:rFonts w:ascii="Arial" w:hAnsi="Arial" w:cs="Arial"/>
          <w:bCs/>
        </w:rPr>
      </w:pPr>
      <w:r w:rsidRPr="00BC37D3">
        <w:rPr>
          <w:rFonts w:ascii="Arial" w:hAnsi="Arial" w:cs="Arial"/>
          <w:bCs/>
        </w:rPr>
        <w:t>If you see or hear something that could be terrorist related call the anti-terrorist hotline on 0800 789 321</w:t>
      </w:r>
      <w:r w:rsidR="00553B7A">
        <w:rPr>
          <w:rFonts w:ascii="Arial" w:hAnsi="Arial" w:cs="Arial"/>
          <w:bCs/>
        </w:rPr>
        <w:t>.</w:t>
      </w:r>
    </w:p>
    <w:p w14:paraId="0DB0A050" w14:textId="1AF0A38B" w:rsidR="00836E35" w:rsidRDefault="00836E35" w:rsidP="00C2062B">
      <w:pPr>
        <w:pStyle w:val="ListParagraph"/>
        <w:widowControl w:val="0"/>
        <w:numPr>
          <w:ilvl w:val="0"/>
          <w:numId w:val="19"/>
        </w:numPr>
        <w:spacing w:before="0" w:after="0"/>
        <w:ind w:left="1418" w:hanging="284"/>
        <w:rPr>
          <w:rFonts w:ascii="Arial" w:hAnsi="Arial" w:cs="Arial"/>
          <w:bCs/>
        </w:rPr>
      </w:pPr>
      <w:r w:rsidRPr="00BC37D3">
        <w:rPr>
          <w:rFonts w:ascii="Arial" w:hAnsi="Arial" w:cs="Arial"/>
          <w:bCs/>
        </w:rPr>
        <w:t>If you require urgent police assistance call 999</w:t>
      </w:r>
      <w:r w:rsidR="00553B7A">
        <w:rPr>
          <w:rFonts w:ascii="Arial" w:hAnsi="Arial" w:cs="Arial"/>
          <w:bCs/>
        </w:rPr>
        <w:t>.</w:t>
      </w:r>
    </w:p>
    <w:p w14:paraId="351913F4" w14:textId="77777777" w:rsidR="00821F56" w:rsidRDefault="00821F56" w:rsidP="00C2062B">
      <w:pPr>
        <w:pStyle w:val="ListParagraph"/>
        <w:numPr>
          <w:ilvl w:val="0"/>
          <w:numId w:val="0"/>
        </w:numPr>
        <w:spacing w:after="0"/>
        <w:ind w:left="1494"/>
        <w:rPr>
          <w:rFonts w:ascii="Arial" w:hAnsi="Arial" w:cs="Arial"/>
        </w:rPr>
      </w:pPr>
    </w:p>
    <w:p w14:paraId="4943B879" w14:textId="09826D08" w:rsidR="005D183C" w:rsidRPr="005D183C" w:rsidRDefault="005D183C" w:rsidP="00D44C21">
      <w:pPr>
        <w:pStyle w:val="Style2"/>
        <w:ind w:left="1134"/>
        <w:contextualSpacing w:val="0"/>
      </w:pPr>
      <w:r w:rsidRPr="005D183C">
        <w:t xml:space="preserve">All Prevent referrals should comply with the </w:t>
      </w:r>
      <w:hyperlink r:id="rId10" w:history="1">
        <w:r w:rsidRPr="005D183C">
          <w:rPr>
            <w:rStyle w:val="Hyperlink"/>
            <w:rFonts w:ascii="Arial" w:hAnsi="Arial" w:cs="Arial"/>
          </w:rPr>
          <w:t>SET Prevent Policy and Guidance</w:t>
        </w:r>
      </w:hyperlink>
      <w:r w:rsidRPr="005D183C">
        <w:t xml:space="preserve">. A Vulnerable to Radicalisation (VTR) referral form can be requested by contacting </w:t>
      </w:r>
      <w:hyperlink r:id="rId11" w:history="1">
        <w:r w:rsidRPr="005D183C">
          <w:rPr>
            <w:rStyle w:val="Hyperlink"/>
            <w:rFonts w:ascii="Arial" w:hAnsi="Arial" w:cs="Arial"/>
          </w:rPr>
          <w:t>Prevent@essex.gov.uk</w:t>
        </w:r>
      </w:hyperlink>
      <w:r w:rsidRPr="005D183C">
        <w:t xml:space="preserve"> </w:t>
      </w:r>
      <w:r w:rsidR="00D469A2">
        <w:t>.</w:t>
      </w:r>
    </w:p>
    <w:p w14:paraId="5AE03438" w14:textId="4F098FC9" w:rsidR="005D183C" w:rsidRPr="00C5403E" w:rsidRDefault="005D183C" w:rsidP="00C2062B">
      <w:pPr>
        <w:pStyle w:val="Style2"/>
        <w:ind w:left="1134"/>
      </w:pPr>
      <w:r w:rsidRPr="00C5403E">
        <w:t xml:space="preserve">Prevent referrals are made to the Counter Terrorist Police at </w:t>
      </w:r>
      <w:hyperlink r:id="rId12" w:history="1">
        <w:r w:rsidRPr="00C5403E">
          <w:rPr>
            <w:rStyle w:val="Hyperlink"/>
            <w:rFonts w:ascii="Arial" w:hAnsi="Arial" w:cs="Arial"/>
          </w:rPr>
          <w:t>Prevent@essex.pnn.police.uk</w:t>
        </w:r>
      </w:hyperlink>
      <w:r w:rsidRPr="00C5403E">
        <w:rPr>
          <w:rStyle w:val="Hyperlink"/>
          <w:rFonts w:ascii="Arial" w:hAnsi="Arial" w:cs="Arial"/>
          <w:color w:val="auto"/>
        </w:rPr>
        <w:t xml:space="preserve">  </w:t>
      </w:r>
      <w:r w:rsidRPr="00C5403E">
        <w:t xml:space="preserve"> using the VTR referral form. The </w:t>
      </w:r>
      <w:r w:rsidR="00D469A2">
        <w:t xml:space="preserve">ICB </w:t>
      </w:r>
      <w:r w:rsidRPr="00C5403E">
        <w:t>Safeguarding Team should be notified of all referrals made by staff.</w:t>
      </w:r>
    </w:p>
    <w:p w14:paraId="692C043F" w14:textId="77777777" w:rsidR="00333918" w:rsidRDefault="00333918" w:rsidP="00C2062B">
      <w:pPr>
        <w:pStyle w:val="Style2"/>
        <w:numPr>
          <w:ilvl w:val="0"/>
          <w:numId w:val="0"/>
        </w:numPr>
        <w:ind w:left="1134"/>
      </w:pPr>
    </w:p>
    <w:p w14:paraId="4A31DFC8" w14:textId="3ECD686D" w:rsidR="005D183C" w:rsidRPr="005727DF" w:rsidRDefault="005D183C" w:rsidP="00C2062B">
      <w:pPr>
        <w:pStyle w:val="Style2"/>
        <w:ind w:left="1134"/>
      </w:pPr>
      <w:r w:rsidRPr="005727DF">
        <w:t xml:space="preserve">All Prevent concerns about children </w:t>
      </w:r>
      <w:r>
        <w:t>should</w:t>
      </w:r>
      <w:r w:rsidRPr="005727DF">
        <w:t xml:space="preserve"> be </w:t>
      </w:r>
      <w:r>
        <w:t>notified</w:t>
      </w:r>
      <w:r w:rsidRPr="005727DF">
        <w:t xml:space="preserve"> to</w:t>
      </w:r>
      <w:r>
        <w:t xml:space="preserve"> the relevant local authority c</w:t>
      </w:r>
      <w:r w:rsidRPr="005727DF">
        <w:t xml:space="preserve">hildren’s social </w:t>
      </w:r>
      <w:r>
        <w:t>c</w:t>
      </w:r>
      <w:r w:rsidRPr="005727DF">
        <w:t>are.</w:t>
      </w:r>
    </w:p>
    <w:p w14:paraId="5D8A71D8" w14:textId="77777777" w:rsidR="00333918" w:rsidRPr="00333918" w:rsidRDefault="00333918" w:rsidP="00C2062B">
      <w:pPr>
        <w:pStyle w:val="Style2"/>
        <w:numPr>
          <w:ilvl w:val="0"/>
          <w:numId w:val="0"/>
        </w:numPr>
        <w:ind w:left="1134"/>
        <w:rPr>
          <w:color w:val="auto"/>
        </w:rPr>
      </w:pPr>
    </w:p>
    <w:p w14:paraId="4A90C4B2" w14:textId="48C2357A" w:rsidR="005D183C" w:rsidRPr="008D7F75" w:rsidRDefault="005D183C" w:rsidP="00C2062B">
      <w:pPr>
        <w:pStyle w:val="Style2"/>
        <w:ind w:left="1134"/>
        <w:rPr>
          <w:color w:val="auto"/>
        </w:rPr>
      </w:pPr>
      <w:r w:rsidRPr="005727DF">
        <w:t>Prevent concerns in relation to members of staff will be risk assessed by the</w:t>
      </w:r>
      <w:r>
        <w:t>ir</w:t>
      </w:r>
      <w:r w:rsidRPr="005727DF">
        <w:t xml:space="preserve"> </w:t>
      </w:r>
      <w:r>
        <w:t>l</w:t>
      </w:r>
      <w:r w:rsidRPr="005727DF">
        <w:t xml:space="preserve">ine </w:t>
      </w:r>
      <w:r>
        <w:t>m</w:t>
      </w:r>
      <w:r w:rsidRPr="005727DF">
        <w:t>anager Human Resources and the</w:t>
      </w:r>
      <w:r>
        <w:t xml:space="preserve"> Director of Nursing for Safeguarding</w:t>
      </w:r>
      <w:r w:rsidRPr="005727DF">
        <w:t>.</w:t>
      </w:r>
    </w:p>
    <w:p w14:paraId="38D6A5E2" w14:textId="77777777" w:rsidR="00F913CD" w:rsidRPr="0015255F" w:rsidRDefault="00F913CD" w:rsidP="00C2062B">
      <w:pPr>
        <w:pStyle w:val="Heading2"/>
      </w:pPr>
      <w:bookmarkStart w:id="36" w:name="_Toc84611059"/>
      <w:bookmarkStart w:id="37" w:name="_Toc89326549"/>
      <w:bookmarkStart w:id="38" w:name="_Toc110852495"/>
      <w:r w:rsidRPr="0015255F">
        <w:t xml:space="preserve">Monitoring </w:t>
      </w:r>
      <w:r w:rsidRPr="006B3E9C">
        <w:t>Compliance</w:t>
      </w:r>
      <w:bookmarkEnd w:id="36"/>
      <w:bookmarkEnd w:id="37"/>
      <w:bookmarkEnd w:id="38"/>
    </w:p>
    <w:p w14:paraId="22E9E7E1" w14:textId="77777777" w:rsidR="000F77F5" w:rsidRPr="008C309F" w:rsidRDefault="000F77F5" w:rsidP="000F77F5">
      <w:pPr>
        <w:pStyle w:val="Heading3"/>
        <w:ind w:left="1134"/>
      </w:pPr>
      <w:bookmarkStart w:id="39" w:name="_Toc110852496"/>
      <w:r w:rsidRPr="008C309F">
        <w:t>Contract and Performance Management</w:t>
      </w:r>
      <w:bookmarkEnd w:id="39"/>
      <w:r w:rsidRPr="008C309F">
        <w:t xml:space="preserve"> </w:t>
      </w:r>
    </w:p>
    <w:p w14:paraId="24D0431E" w14:textId="70F0B43E" w:rsidR="00CA5558" w:rsidRDefault="00CA5558" w:rsidP="000F77F5">
      <w:pPr>
        <w:pStyle w:val="Style2"/>
        <w:ind w:left="1134"/>
        <w:contextualSpacing w:val="0"/>
      </w:pPr>
      <w:r w:rsidRPr="005727DF">
        <w:t xml:space="preserve">As commissioners of services </w:t>
      </w:r>
      <w:r w:rsidR="00553B7A">
        <w:t xml:space="preserve">the ICB </w:t>
      </w:r>
      <w:r>
        <w:t xml:space="preserve">has </w:t>
      </w:r>
      <w:r w:rsidRPr="005727DF">
        <w:t>a responsibility</w:t>
      </w:r>
      <w:r>
        <w:t xml:space="preserve"> to seek assurance that </w:t>
      </w:r>
      <w:r w:rsidRPr="000A15BD">
        <w:t>NHS trusts and foundation trusts consider the Prevent strategy when delivering their services</w:t>
      </w:r>
      <w:r>
        <w:t xml:space="preserve"> in line with the</w:t>
      </w:r>
      <w:r w:rsidRPr="000A15BD">
        <w:t xml:space="preserve"> legal duty</w:t>
      </w:r>
      <w:r>
        <w:t xml:space="preserve"> placed on them by </w:t>
      </w:r>
      <w:hyperlink r:id="rId13" w:history="1">
        <w:r w:rsidRPr="000A15BD">
          <w:rPr>
            <w:rStyle w:val="Hyperlink"/>
            <w:rFonts w:ascii="Arial" w:hAnsi="Arial" w:cs="Arial"/>
          </w:rPr>
          <w:t>The Counter Terrorism &amp; Security Act 2015</w:t>
        </w:r>
      </w:hyperlink>
      <w:r>
        <w:t xml:space="preserve">. </w:t>
      </w:r>
      <w:r w:rsidRPr="000A15BD">
        <w:t>The key elements of this duty are further outlined in the revised </w:t>
      </w:r>
      <w:hyperlink r:id="rId14" w:history="1">
        <w:r w:rsidRPr="000A15BD">
          <w:rPr>
            <w:rStyle w:val="Hyperlink"/>
            <w:rFonts w:ascii="Arial" w:hAnsi="Arial" w:cs="Arial"/>
          </w:rPr>
          <w:t>Prevent duty guidance</w:t>
        </w:r>
      </w:hyperlink>
      <w:r w:rsidRPr="000A15BD">
        <w:t> which refers to the Department of Health's </w:t>
      </w:r>
      <w:hyperlink r:id="rId15" w:history="1">
        <w:r w:rsidRPr="000A15BD">
          <w:rPr>
            <w:rStyle w:val="Hyperlink"/>
            <w:rFonts w:ascii="Arial" w:hAnsi="Arial" w:cs="Arial"/>
          </w:rPr>
          <w:t>building partnerships staying safe guidance document</w:t>
        </w:r>
      </w:hyperlink>
      <w:r w:rsidRPr="000A15BD">
        <w:t>  as the way health organisations should deliver Prevent.</w:t>
      </w:r>
    </w:p>
    <w:p w14:paraId="0D3FDB76" w14:textId="77777777" w:rsidR="00722847" w:rsidRDefault="00722847" w:rsidP="000F77F5">
      <w:pPr>
        <w:pStyle w:val="Style2"/>
        <w:ind w:left="1134"/>
        <w:contextualSpacing w:val="0"/>
      </w:pPr>
      <w:r w:rsidRPr="000A15BD">
        <w:t>The data/information subject to the data submission process is collected from all NHS Trusts and Foundation Trusts. This provides the necessary assurance that all organisations are compliant with the Prevent duty.</w:t>
      </w:r>
    </w:p>
    <w:p w14:paraId="1587AD39" w14:textId="61595361" w:rsidR="00F05E9E" w:rsidRDefault="00F05E9E" w:rsidP="000F77F5">
      <w:pPr>
        <w:pStyle w:val="Style2"/>
        <w:ind w:left="1134"/>
        <w:contextualSpacing w:val="0"/>
      </w:pPr>
      <w:r w:rsidRPr="000A15BD">
        <w:t>The aim of the data collection is to demonstrate how NHS providers are delivering the key elements of the duty. These include identified Prevent leads, delivery of awareness training, the level of referrals made and the engagement with relevant partnership forums that coordinate the Prevent strategy at local and regional levels.</w:t>
      </w:r>
    </w:p>
    <w:p w14:paraId="03671137" w14:textId="77777777" w:rsidR="00F913CD" w:rsidRPr="0015255F" w:rsidRDefault="00F913CD" w:rsidP="00C2062B">
      <w:pPr>
        <w:pStyle w:val="Heading2"/>
      </w:pPr>
      <w:bookmarkStart w:id="40" w:name="_Toc84611060"/>
      <w:bookmarkStart w:id="41" w:name="_Toc89326550"/>
      <w:bookmarkStart w:id="42" w:name="_Toc110852497"/>
      <w:r w:rsidRPr="0015255F">
        <w:t xml:space="preserve">Staff </w:t>
      </w:r>
      <w:r w:rsidRPr="006B3E9C">
        <w:t>Training</w:t>
      </w:r>
      <w:bookmarkEnd w:id="40"/>
      <w:bookmarkEnd w:id="41"/>
      <w:bookmarkEnd w:id="42"/>
    </w:p>
    <w:p w14:paraId="71E48320" w14:textId="6B9D82E7" w:rsidR="00F6021A" w:rsidRPr="000F77F5" w:rsidRDefault="00914065" w:rsidP="00023BF3">
      <w:pPr>
        <w:pStyle w:val="Style1"/>
        <w:ind w:left="1134"/>
      </w:pPr>
      <w:bookmarkStart w:id="43" w:name="_Toc84611061"/>
      <w:bookmarkStart w:id="44" w:name="_Toc89326551"/>
      <w:r w:rsidRPr="00F6021A">
        <w:t>Under the Prevent Duty, the health sector is required to ensure that healthcare workers are able to identify early signs of an individual being drawn into radicalisation. Additionally, any provider commissioned using the NHS Standard Contract has a wider contractual safeguarding responsibility which includes Prevent. Staff must be able to recognise key signs of radicalisation and be confident in referring individuals to their organisational safeguarding lead thus enabling them to receive the support and intervention they require</w:t>
      </w:r>
      <w:r w:rsidR="00D469A2">
        <w:t>.</w:t>
      </w:r>
    </w:p>
    <w:p w14:paraId="4F8356D0" w14:textId="77777777" w:rsidR="00CA0BBC" w:rsidRDefault="00CA0BBC" w:rsidP="00023BF3">
      <w:pPr>
        <w:pStyle w:val="Style1"/>
        <w:ind w:left="1134"/>
      </w:pPr>
      <w:r w:rsidRPr="00B46B9A">
        <w:t xml:space="preserve">The </w:t>
      </w:r>
      <w:hyperlink r:id="rId16" w:history="1">
        <w:r w:rsidRPr="00B46B9A">
          <w:rPr>
            <w:rStyle w:val="Hyperlink"/>
            <w:rFonts w:ascii="Arial" w:hAnsi="Arial" w:cs="Arial"/>
          </w:rPr>
          <w:t>Prevent Training and Competencies Framework</w:t>
        </w:r>
      </w:hyperlink>
      <w:r w:rsidRPr="00B46B9A">
        <w:t xml:space="preserve"> has been developed to encourage a</w:t>
      </w:r>
      <w:r>
        <w:t xml:space="preserve"> </w:t>
      </w:r>
      <w:r w:rsidRPr="00B46B9A">
        <w:t>consistent approach to training and competency development in respect of Prevent and to</w:t>
      </w:r>
      <w:r>
        <w:t xml:space="preserve"> </w:t>
      </w:r>
      <w:r w:rsidRPr="00B46B9A">
        <w:t>ensure that NHS Trusts and Foundation Trusts meet their legislative responsibilities to equip</w:t>
      </w:r>
      <w:r>
        <w:t xml:space="preserve"> </w:t>
      </w:r>
      <w:r w:rsidRPr="00B46B9A">
        <w:t>people to work effectively to safeguard and promote the welfare of children, young people</w:t>
      </w:r>
      <w:r>
        <w:t xml:space="preserve"> </w:t>
      </w:r>
      <w:r w:rsidRPr="00B46B9A">
        <w:t>and adults in relation to Prevent.</w:t>
      </w:r>
    </w:p>
    <w:p w14:paraId="11355AF0" w14:textId="77777777" w:rsidR="00CA0BBC" w:rsidRPr="00B46B9A" w:rsidRDefault="00CA0BBC" w:rsidP="00023BF3">
      <w:pPr>
        <w:pStyle w:val="Style1"/>
        <w:ind w:left="1134"/>
      </w:pPr>
      <w:r w:rsidRPr="00B46B9A">
        <w:t>This document support</w:t>
      </w:r>
      <w:r>
        <w:t>s</w:t>
      </w:r>
      <w:r w:rsidRPr="00B46B9A">
        <w:t xml:space="preserve"> NHS provider organisations, NHS commissioners and</w:t>
      </w:r>
      <w:r>
        <w:t xml:space="preserve"> </w:t>
      </w:r>
      <w:r w:rsidRPr="00B46B9A">
        <w:t>organisations providing services on behalf of the NHS, to meet contractual obligations in</w:t>
      </w:r>
      <w:r>
        <w:t xml:space="preserve"> </w:t>
      </w:r>
      <w:r w:rsidRPr="00B46B9A">
        <w:t>relation to safeguarding training, as set out in the NHS Standard Contract</w:t>
      </w:r>
      <w:r>
        <w:t>.</w:t>
      </w:r>
    </w:p>
    <w:p w14:paraId="7B564167" w14:textId="5E5E685B" w:rsidR="00B25A5E" w:rsidRDefault="00B25A5E" w:rsidP="00023BF3">
      <w:pPr>
        <w:pStyle w:val="Style1"/>
        <w:ind w:left="1134"/>
        <w:rPr>
          <w:rFonts w:ascii="Arial" w:hAnsi="Arial" w:cs="Arial"/>
        </w:rPr>
      </w:pPr>
      <w:r w:rsidRPr="00B46B9A">
        <w:t>To ensure consistency in training and competency development, the framework should be</w:t>
      </w:r>
      <w:r w:rsidR="00F142C3">
        <w:t xml:space="preserve"> </w:t>
      </w:r>
      <w:r w:rsidRPr="00F142C3">
        <w:rPr>
          <w:rFonts w:ascii="Arial" w:hAnsi="Arial" w:cs="Arial"/>
        </w:rPr>
        <w:t>used in conjunction with the Intercollegiate Documents:</w:t>
      </w:r>
    </w:p>
    <w:p w14:paraId="371808E0" w14:textId="2A57B91E" w:rsidR="00B25A5E" w:rsidRPr="00F142C3" w:rsidRDefault="00B25A5E" w:rsidP="003A3718">
      <w:pPr>
        <w:pStyle w:val="ListParagraph"/>
        <w:widowControl w:val="0"/>
        <w:numPr>
          <w:ilvl w:val="0"/>
          <w:numId w:val="19"/>
        </w:numPr>
        <w:spacing w:before="0" w:after="120"/>
        <w:ind w:left="1418" w:hanging="284"/>
        <w:contextualSpacing w:val="0"/>
        <w:rPr>
          <w:rFonts w:ascii="Arial" w:hAnsi="Arial" w:cs="Arial"/>
          <w:bCs/>
        </w:rPr>
      </w:pPr>
      <w:r w:rsidRPr="00F142C3">
        <w:rPr>
          <w:rFonts w:ascii="Arial" w:hAnsi="Arial" w:cs="Arial"/>
          <w:bCs/>
        </w:rPr>
        <w:t>Adult Safeguarding: Roles and Competencies for Healthcare Staff (2018)</w:t>
      </w:r>
      <w:r w:rsidR="00515097">
        <w:rPr>
          <w:rFonts w:ascii="Arial" w:hAnsi="Arial" w:cs="Arial"/>
          <w:bCs/>
        </w:rPr>
        <w:t>.</w:t>
      </w:r>
    </w:p>
    <w:p w14:paraId="301947FA" w14:textId="026579E3" w:rsidR="00B25A5E" w:rsidRPr="00F142C3" w:rsidRDefault="00B25A5E" w:rsidP="003A3718">
      <w:pPr>
        <w:pStyle w:val="ListParagraph"/>
        <w:widowControl w:val="0"/>
        <w:numPr>
          <w:ilvl w:val="0"/>
          <w:numId w:val="19"/>
        </w:numPr>
        <w:spacing w:before="0" w:after="120"/>
        <w:ind w:left="1418" w:hanging="284"/>
        <w:contextualSpacing w:val="0"/>
        <w:rPr>
          <w:rFonts w:ascii="Arial" w:hAnsi="Arial" w:cs="Arial"/>
          <w:bCs/>
        </w:rPr>
      </w:pPr>
      <w:r w:rsidRPr="00F142C3">
        <w:rPr>
          <w:rFonts w:ascii="Arial" w:hAnsi="Arial" w:cs="Arial"/>
          <w:bCs/>
        </w:rPr>
        <w:t>Safeguarding Children and Young People: Roles and Competencies for Healthcare Staff (2019)</w:t>
      </w:r>
      <w:r w:rsidR="00515097">
        <w:rPr>
          <w:rFonts w:ascii="Arial" w:hAnsi="Arial" w:cs="Arial"/>
          <w:bCs/>
        </w:rPr>
        <w:t>.</w:t>
      </w:r>
    </w:p>
    <w:p w14:paraId="54EB0A0D" w14:textId="0A019F9B" w:rsidR="00B25A5E" w:rsidRPr="00F142C3" w:rsidRDefault="00B25A5E" w:rsidP="00C2062B">
      <w:pPr>
        <w:pStyle w:val="ListParagraph"/>
        <w:widowControl w:val="0"/>
        <w:numPr>
          <w:ilvl w:val="0"/>
          <w:numId w:val="19"/>
        </w:numPr>
        <w:spacing w:before="0" w:after="0"/>
        <w:ind w:left="1418" w:hanging="284"/>
        <w:rPr>
          <w:rFonts w:ascii="Arial" w:hAnsi="Arial" w:cs="Arial"/>
          <w:bCs/>
        </w:rPr>
      </w:pPr>
      <w:r w:rsidRPr="00F142C3">
        <w:rPr>
          <w:rFonts w:ascii="Arial" w:hAnsi="Arial" w:cs="Arial"/>
          <w:bCs/>
        </w:rPr>
        <w:t>Looked after Children: Roles and Competencies for Healthcare Staff (2020)</w:t>
      </w:r>
      <w:r w:rsidR="00515097">
        <w:rPr>
          <w:rFonts w:ascii="Arial" w:hAnsi="Arial" w:cs="Arial"/>
          <w:bCs/>
        </w:rPr>
        <w:t>.</w:t>
      </w:r>
    </w:p>
    <w:p w14:paraId="7DF6B752" w14:textId="06EE8C20" w:rsidR="00F913CD" w:rsidRDefault="00F913CD" w:rsidP="00C2062B">
      <w:pPr>
        <w:pStyle w:val="Heading2"/>
      </w:pPr>
      <w:bookmarkStart w:id="45" w:name="_Toc110852498"/>
      <w:r w:rsidRPr="0015255F">
        <w:t xml:space="preserve">Arrangements </w:t>
      </w:r>
      <w:r w:rsidR="0023686E">
        <w:t>f</w:t>
      </w:r>
      <w:r w:rsidRPr="0015255F">
        <w:t>or Review</w:t>
      </w:r>
      <w:bookmarkEnd w:id="43"/>
      <w:bookmarkEnd w:id="44"/>
      <w:bookmarkEnd w:id="45"/>
    </w:p>
    <w:p w14:paraId="7CE3CD4E" w14:textId="77777777" w:rsidR="00F913CD" w:rsidRPr="0015255F" w:rsidRDefault="00F913CD" w:rsidP="00023BF3">
      <w:pPr>
        <w:pStyle w:val="Style1"/>
        <w:ind w:left="1134"/>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023BF3">
      <w:pPr>
        <w:pStyle w:val="Style1"/>
        <w:ind w:left="1134"/>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46" w:name="_Toc84611062"/>
    </w:p>
    <w:p w14:paraId="4D2967FC" w14:textId="17ABFAC4" w:rsidR="00F913CD" w:rsidRPr="0015255F" w:rsidRDefault="00F913CD" w:rsidP="00C2062B">
      <w:pPr>
        <w:pStyle w:val="Heading2"/>
      </w:pPr>
      <w:bookmarkStart w:id="47" w:name="_Toc89326552"/>
      <w:bookmarkStart w:id="48" w:name="_Toc110852499"/>
      <w:bookmarkEnd w:id="46"/>
      <w:r w:rsidRPr="0015255F">
        <w:t xml:space="preserve">Associated Policies, Guidance </w:t>
      </w:r>
      <w:r w:rsidR="00724173">
        <w:t>a</w:t>
      </w:r>
      <w:r w:rsidRPr="0015255F">
        <w:t>nd Documents</w:t>
      </w:r>
      <w:bookmarkEnd w:id="47"/>
      <w:bookmarkEnd w:id="48"/>
    </w:p>
    <w:p w14:paraId="69215EC8" w14:textId="2C90E1EB" w:rsidR="007E38F7" w:rsidRDefault="007E38F7" w:rsidP="00724173">
      <w:pPr>
        <w:numPr>
          <w:ilvl w:val="0"/>
          <w:numId w:val="14"/>
        </w:numPr>
        <w:autoSpaceDE w:val="0"/>
        <w:autoSpaceDN w:val="0"/>
        <w:adjustRightInd w:val="0"/>
        <w:spacing w:before="0" w:after="120" w:line="259" w:lineRule="auto"/>
        <w:ind w:left="1418" w:hanging="284"/>
        <w:rPr>
          <w:rFonts w:ascii="Arial" w:eastAsia="Calibri" w:hAnsi="Arial" w:cs="Arial"/>
        </w:rPr>
      </w:pPr>
      <w:r w:rsidRPr="00341F56">
        <w:rPr>
          <w:rFonts w:ascii="Arial" w:eastAsia="Calibri" w:hAnsi="Arial" w:cs="Arial"/>
        </w:rPr>
        <w:t>Safeguarding Adults and Children (including Children in Care/Looked After Children)</w:t>
      </w:r>
      <w:r w:rsidR="00D469A2">
        <w:rPr>
          <w:rFonts w:ascii="Arial" w:eastAsia="Calibri" w:hAnsi="Arial" w:cs="Arial"/>
        </w:rPr>
        <w:t>.</w:t>
      </w:r>
    </w:p>
    <w:p w14:paraId="403E04EF" w14:textId="4D37AFF0" w:rsidR="007E38F7" w:rsidRPr="00341F56" w:rsidRDefault="007E38F7" w:rsidP="00724173">
      <w:pPr>
        <w:numPr>
          <w:ilvl w:val="0"/>
          <w:numId w:val="14"/>
        </w:numPr>
        <w:autoSpaceDE w:val="0"/>
        <w:autoSpaceDN w:val="0"/>
        <w:adjustRightInd w:val="0"/>
        <w:spacing w:before="0" w:after="120" w:line="259" w:lineRule="auto"/>
        <w:ind w:left="1418" w:hanging="284"/>
        <w:rPr>
          <w:rFonts w:ascii="Arial" w:eastAsia="Calibri" w:hAnsi="Arial" w:cs="Arial"/>
        </w:rPr>
      </w:pPr>
      <w:r w:rsidRPr="00341F56">
        <w:rPr>
          <w:rFonts w:ascii="Arial" w:eastAsia="Calibri" w:hAnsi="Arial" w:cs="Arial"/>
        </w:rPr>
        <w:t>Safeguarding Supervision</w:t>
      </w:r>
      <w:r w:rsidR="00D469A2">
        <w:rPr>
          <w:rFonts w:ascii="Arial" w:eastAsia="Calibri" w:hAnsi="Arial" w:cs="Arial"/>
        </w:rPr>
        <w:t>.</w:t>
      </w:r>
    </w:p>
    <w:p w14:paraId="26501C58" w14:textId="6C657389" w:rsidR="007E38F7" w:rsidRPr="00341F56" w:rsidRDefault="007E38F7" w:rsidP="00724173">
      <w:pPr>
        <w:numPr>
          <w:ilvl w:val="0"/>
          <w:numId w:val="14"/>
        </w:numPr>
        <w:autoSpaceDE w:val="0"/>
        <w:autoSpaceDN w:val="0"/>
        <w:adjustRightInd w:val="0"/>
        <w:spacing w:before="0" w:after="120" w:line="259" w:lineRule="auto"/>
        <w:ind w:left="1418" w:hanging="284"/>
        <w:rPr>
          <w:rFonts w:ascii="Arial" w:eastAsia="Calibri" w:hAnsi="Arial" w:cs="Arial"/>
        </w:rPr>
      </w:pPr>
      <w:r w:rsidRPr="00341F56">
        <w:rPr>
          <w:rFonts w:ascii="Arial" w:eastAsia="Calibri" w:hAnsi="Arial" w:cs="Arial"/>
        </w:rPr>
        <w:t xml:space="preserve">Management of allegations against staff, </w:t>
      </w:r>
      <w:proofErr w:type="gramStart"/>
      <w:r w:rsidRPr="00341F56">
        <w:rPr>
          <w:rFonts w:ascii="Arial" w:eastAsia="Calibri" w:hAnsi="Arial" w:cs="Arial"/>
        </w:rPr>
        <w:t>volunteers</w:t>
      </w:r>
      <w:proofErr w:type="gramEnd"/>
      <w:r w:rsidRPr="00341F56">
        <w:rPr>
          <w:rFonts w:ascii="Arial" w:eastAsia="Calibri" w:hAnsi="Arial" w:cs="Arial"/>
        </w:rPr>
        <w:t xml:space="preserve"> and people in positions of trust who work with adults and children</w:t>
      </w:r>
      <w:r w:rsidR="00D469A2">
        <w:rPr>
          <w:rFonts w:ascii="Arial" w:eastAsia="Calibri" w:hAnsi="Arial" w:cs="Arial"/>
        </w:rPr>
        <w:t>.</w:t>
      </w:r>
    </w:p>
    <w:p w14:paraId="69AF4FBD" w14:textId="0B0E3773" w:rsidR="007E38F7" w:rsidRPr="00724173" w:rsidRDefault="007E38F7" w:rsidP="00724173">
      <w:pPr>
        <w:numPr>
          <w:ilvl w:val="0"/>
          <w:numId w:val="14"/>
        </w:numPr>
        <w:autoSpaceDE w:val="0"/>
        <w:autoSpaceDN w:val="0"/>
        <w:adjustRightInd w:val="0"/>
        <w:spacing w:before="0" w:after="120" w:line="259" w:lineRule="auto"/>
        <w:ind w:left="1418" w:hanging="284"/>
        <w:rPr>
          <w:rFonts w:ascii="Arial" w:eastAsia="Calibri" w:hAnsi="Arial" w:cs="Arial"/>
        </w:rPr>
      </w:pPr>
      <w:r w:rsidRPr="00724173">
        <w:rPr>
          <w:rFonts w:ascii="Arial" w:eastAsia="Calibri" w:hAnsi="Arial" w:cs="Arial"/>
        </w:rPr>
        <w:t>Mental Capacity (Amendment) Act 2019</w:t>
      </w:r>
      <w:r w:rsidR="00724173" w:rsidRPr="00724173">
        <w:rPr>
          <w:rFonts w:ascii="Arial" w:eastAsia="Calibri" w:hAnsi="Arial" w:cs="Arial"/>
        </w:rPr>
        <w:t xml:space="preserve"> - </w:t>
      </w:r>
      <w:r w:rsidRPr="00724173">
        <w:rPr>
          <w:rFonts w:ascii="Arial" w:eastAsia="Calibri" w:hAnsi="Arial" w:cs="Arial"/>
        </w:rPr>
        <w:t>(including Deprivation of Liberty Safeguards/Liberty Protection Safeguards)</w:t>
      </w:r>
      <w:r w:rsidR="00D469A2">
        <w:rPr>
          <w:rFonts w:ascii="Arial" w:eastAsia="Calibri" w:hAnsi="Arial" w:cs="Arial"/>
        </w:rPr>
        <w:t>.</w:t>
      </w:r>
    </w:p>
    <w:p w14:paraId="0592EEA3" w14:textId="3B71E0D0" w:rsidR="007E38F7" w:rsidRPr="00341F56" w:rsidRDefault="007E38F7" w:rsidP="00724173">
      <w:pPr>
        <w:numPr>
          <w:ilvl w:val="0"/>
          <w:numId w:val="14"/>
        </w:numPr>
        <w:autoSpaceDE w:val="0"/>
        <w:autoSpaceDN w:val="0"/>
        <w:adjustRightInd w:val="0"/>
        <w:spacing w:before="0" w:after="120" w:line="259" w:lineRule="auto"/>
        <w:ind w:left="1418" w:hanging="284"/>
        <w:rPr>
          <w:rFonts w:ascii="Arial" w:eastAsia="Calibri" w:hAnsi="Arial" w:cs="Arial"/>
        </w:rPr>
      </w:pPr>
      <w:r w:rsidRPr="00341F56">
        <w:rPr>
          <w:rFonts w:ascii="Arial" w:eastAsia="Calibri" w:hAnsi="Arial" w:cs="Arial"/>
        </w:rPr>
        <w:t>Safeguarding Adults and Children Experiencing/at Risk of Domestic Violence and Abuse</w:t>
      </w:r>
      <w:r w:rsidR="00D469A2">
        <w:rPr>
          <w:rFonts w:ascii="Arial" w:eastAsia="Calibri" w:hAnsi="Arial" w:cs="Arial"/>
        </w:rPr>
        <w:t>.</w:t>
      </w:r>
    </w:p>
    <w:p w14:paraId="70D9A90C" w14:textId="1ACA6195" w:rsidR="007E38F7" w:rsidRPr="00341F56" w:rsidRDefault="007E38F7" w:rsidP="00C2062B">
      <w:pPr>
        <w:numPr>
          <w:ilvl w:val="0"/>
          <w:numId w:val="14"/>
        </w:numPr>
        <w:autoSpaceDE w:val="0"/>
        <w:autoSpaceDN w:val="0"/>
        <w:adjustRightInd w:val="0"/>
        <w:spacing w:before="0" w:after="160" w:line="259" w:lineRule="auto"/>
        <w:ind w:left="1418" w:hanging="284"/>
        <w:contextualSpacing/>
        <w:rPr>
          <w:rFonts w:ascii="Arial" w:eastAsia="Calibri" w:hAnsi="Arial" w:cs="Arial"/>
          <w:b/>
          <w:bCs/>
        </w:rPr>
      </w:pPr>
      <w:r w:rsidRPr="00341F56">
        <w:rPr>
          <w:rFonts w:ascii="Arial" w:eastAsia="Calibri" w:hAnsi="Arial" w:cs="Arial"/>
        </w:rPr>
        <w:t>Management of Perplexing Presentations and Fabricated or Induced Illness in Children</w:t>
      </w:r>
      <w:r w:rsidR="00D469A2">
        <w:rPr>
          <w:rFonts w:ascii="Arial" w:eastAsia="Calibri" w:hAnsi="Arial" w:cs="Arial"/>
        </w:rPr>
        <w:t>.</w:t>
      </w:r>
    </w:p>
    <w:p w14:paraId="0749B5BB" w14:textId="77777777" w:rsidR="00F913CD" w:rsidRPr="0015255F" w:rsidRDefault="00F913CD" w:rsidP="00C2062B">
      <w:pPr>
        <w:pStyle w:val="Heading2"/>
      </w:pPr>
      <w:bookmarkStart w:id="49" w:name="_Toc89326554"/>
      <w:bookmarkStart w:id="50" w:name="_Toc110852500"/>
      <w:r w:rsidRPr="0015255F">
        <w:t>Equality Impact Assessment</w:t>
      </w:r>
      <w:bookmarkEnd w:id="49"/>
      <w:bookmarkEnd w:id="50"/>
    </w:p>
    <w:p w14:paraId="763A59B6" w14:textId="720F8B74" w:rsidR="00BE33B3" w:rsidRDefault="00573B7F" w:rsidP="00BE33B3">
      <w:pPr>
        <w:pStyle w:val="Style1"/>
        <w:ind w:left="1134"/>
      </w:pPr>
      <w:r w:rsidRPr="00116DF9">
        <w:t>T</w:t>
      </w:r>
      <w:r w:rsidR="00D469A2">
        <w:t>he EIA for this</w:t>
      </w:r>
      <w:r w:rsidRPr="00116DF9">
        <w:t xml:space="preserve"> policy </w:t>
      </w:r>
      <w:r w:rsidR="00D469A2">
        <w:t xml:space="preserve">has identified a </w:t>
      </w:r>
      <w:r w:rsidR="00E06773">
        <w:t xml:space="preserve">generally </w:t>
      </w:r>
      <w:r w:rsidR="00D469A2">
        <w:t>neutral impact and is attached at Appendix A.</w:t>
      </w:r>
      <w:r w:rsidR="00BE33B3">
        <w:t xml:space="preserve"> </w:t>
      </w:r>
    </w:p>
    <w:p w14:paraId="56FF4CB9" w14:textId="5A05C728" w:rsidR="00BE33B3" w:rsidRDefault="00BE33B3" w:rsidP="00C2062B">
      <w:pPr>
        <w:pStyle w:val="Style1"/>
        <w:ind w:left="1134"/>
      </w:pPr>
      <w:r>
        <w:br w:type="page"/>
      </w:r>
    </w:p>
    <w:p w14:paraId="49C01084" w14:textId="77777777" w:rsidR="00603FE3" w:rsidRPr="00FC7C60" w:rsidRDefault="00603FE3" w:rsidP="00603FE3">
      <w:pPr>
        <w:pStyle w:val="Heading2"/>
        <w:numPr>
          <w:ilvl w:val="0"/>
          <w:numId w:val="0"/>
        </w:numPr>
      </w:pPr>
      <w:bookmarkStart w:id="51" w:name="_Toc102646274"/>
      <w:bookmarkStart w:id="52" w:name="_Toc103004364"/>
      <w:bookmarkStart w:id="53" w:name="_Toc89326557"/>
      <w:bookmarkStart w:id="54" w:name="_Toc110852501"/>
      <w:r w:rsidRPr="006606C1">
        <w:t>Appendix</w:t>
      </w:r>
      <w:r>
        <w:t xml:space="preserve"> A </w:t>
      </w:r>
      <w:bookmarkStart w:id="55" w:name="_Toc84611066"/>
      <w:bookmarkStart w:id="56" w:name="_Toc89326556"/>
      <w:r>
        <w:t xml:space="preserve">- </w:t>
      </w:r>
      <w:r w:rsidRPr="00F66595">
        <w:t>Equality Impact Assessment</w:t>
      </w:r>
      <w:bookmarkEnd w:id="51"/>
      <w:bookmarkEnd w:id="52"/>
      <w:bookmarkEnd w:id="54"/>
      <w:bookmarkEnd w:id="55"/>
      <w:bookmarkEnd w:id="56"/>
    </w:p>
    <w:p w14:paraId="68467948" w14:textId="77777777" w:rsidR="00603FE3" w:rsidRPr="00B13488" w:rsidRDefault="00603FE3" w:rsidP="00603FE3">
      <w:pPr>
        <w:keepNext/>
        <w:keepLines/>
        <w:spacing w:before="240"/>
        <w:ind w:left="0"/>
        <w:outlineLvl w:val="0"/>
        <w:rPr>
          <w:rFonts w:asciiTheme="majorHAnsi" w:eastAsia="Times New Roman" w:hAnsiTheme="majorHAnsi" w:cstheme="majorBidi"/>
          <w:b/>
        </w:rPr>
      </w:pPr>
      <w:r w:rsidRPr="00B13488">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603FE3" w:rsidRPr="00B13488" w14:paraId="1107802F" w14:textId="77777777" w:rsidTr="00E9260C">
        <w:trPr>
          <w:trHeight w:val="885"/>
        </w:trPr>
        <w:tc>
          <w:tcPr>
            <w:tcW w:w="2966" w:type="pct"/>
          </w:tcPr>
          <w:p w14:paraId="281D2154" w14:textId="533042F2" w:rsidR="00603FE3" w:rsidRPr="00B13488" w:rsidRDefault="00603FE3" w:rsidP="00E9260C">
            <w:pPr>
              <w:spacing w:before="0" w:after="0"/>
              <w:ind w:left="0"/>
              <w:rPr>
                <w:rFonts w:ascii="Arial" w:eastAsia="Times New Roman" w:hAnsi="Arial" w:cs="Arial"/>
                <w:bCs/>
                <w:color w:val="auto"/>
              </w:rPr>
            </w:pPr>
            <w:r w:rsidRPr="00B13488">
              <w:rPr>
                <w:rFonts w:ascii="Arial" w:eastAsia="Times New Roman" w:hAnsi="Arial" w:cs="Arial"/>
                <w:b/>
                <w:bCs/>
                <w:color w:val="auto"/>
              </w:rPr>
              <w:t xml:space="preserve">Name of policy: </w:t>
            </w:r>
            <w:r w:rsidR="00BE33B3" w:rsidRPr="00BE33B3">
              <w:rPr>
                <w:rFonts w:ascii="Arial" w:eastAsia="Times New Roman" w:hAnsi="Arial" w:cs="Arial"/>
                <w:color w:val="auto"/>
              </w:rPr>
              <w:t>Counterterrorism and Security Act 2015 (including Prevent Duty and Radicalisation)</w:t>
            </w:r>
            <w:r w:rsidRPr="00B13488">
              <w:rPr>
                <w:rFonts w:ascii="Arial" w:eastAsia="Times New Roman" w:hAnsi="Arial" w:cs="Arial"/>
                <w:bCs/>
                <w:color w:val="auto"/>
              </w:rPr>
              <w:tab/>
            </w:r>
          </w:p>
          <w:p w14:paraId="009460EC" w14:textId="41B65B07" w:rsidR="00603FE3" w:rsidRPr="00B13488" w:rsidRDefault="00603FE3" w:rsidP="00E9260C">
            <w:pPr>
              <w:spacing w:before="0" w:after="0"/>
              <w:ind w:left="0"/>
              <w:rPr>
                <w:rFonts w:ascii="Arial" w:eastAsia="Times New Roman" w:hAnsi="Arial" w:cs="Arial"/>
                <w:bCs/>
                <w:color w:val="auto"/>
              </w:rPr>
            </w:pPr>
            <w:r w:rsidRPr="00B13488">
              <w:rPr>
                <w:rFonts w:ascii="Arial" w:eastAsia="Times New Roman" w:hAnsi="Arial" w:cs="Arial"/>
                <w:b/>
                <w:bCs/>
                <w:color w:val="auto"/>
              </w:rPr>
              <w:t xml:space="preserve">Version number (if relevant):  </w:t>
            </w:r>
            <w:r w:rsidR="00BE33B3">
              <w:rPr>
                <w:rFonts w:ascii="Arial" w:eastAsia="Times New Roman" w:hAnsi="Arial" w:cs="Arial"/>
                <w:b/>
                <w:bCs/>
                <w:color w:val="auto"/>
              </w:rPr>
              <w:t>1</w:t>
            </w:r>
            <w:r w:rsidR="00941CDE">
              <w:rPr>
                <w:rFonts w:ascii="Arial" w:eastAsia="Times New Roman" w:hAnsi="Arial" w:cs="Arial"/>
                <w:b/>
                <w:bCs/>
                <w:color w:val="auto"/>
              </w:rPr>
              <w:t>.0</w:t>
            </w:r>
          </w:p>
        </w:tc>
        <w:tc>
          <w:tcPr>
            <w:tcW w:w="2034" w:type="pct"/>
          </w:tcPr>
          <w:p w14:paraId="5756E333" w14:textId="77777777" w:rsidR="00603FE3" w:rsidRPr="00B13488" w:rsidRDefault="00603FE3" w:rsidP="00E9260C">
            <w:pPr>
              <w:spacing w:before="0" w:after="0"/>
              <w:ind w:left="0"/>
              <w:rPr>
                <w:rFonts w:ascii="Arial" w:eastAsia="Times New Roman" w:hAnsi="Arial" w:cs="Arial"/>
                <w:bCs/>
                <w:color w:val="auto"/>
              </w:rPr>
            </w:pPr>
            <w:r w:rsidRPr="00B13488">
              <w:rPr>
                <w:rFonts w:ascii="Arial" w:eastAsia="Times New Roman" w:hAnsi="Arial" w:cs="Arial"/>
                <w:b/>
                <w:bCs/>
                <w:color w:val="auto"/>
              </w:rPr>
              <w:t>Directorate/Service</w:t>
            </w:r>
            <w:r w:rsidRPr="00B13488">
              <w:rPr>
                <w:rFonts w:ascii="Arial" w:eastAsia="Times New Roman" w:hAnsi="Arial" w:cs="Arial"/>
                <w:bCs/>
                <w:color w:val="auto"/>
              </w:rPr>
              <w:t xml:space="preserve">: </w:t>
            </w:r>
            <w:r>
              <w:rPr>
                <w:rFonts w:ascii="Arial" w:eastAsia="Times New Roman" w:hAnsi="Arial" w:cs="Arial"/>
                <w:bCs/>
                <w:color w:val="auto"/>
              </w:rPr>
              <w:t>Quality</w:t>
            </w:r>
          </w:p>
          <w:p w14:paraId="3B56EE7A" w14:textId="77777777" w:rsidR="00603FE3" w:rsidRPr="00B13488" w:rsidRDefault="00603FE3" w:rsidP="00E9260C">
            <w:pPr>
              <w:spacing w:before="0" w:after="0"/>
              <w:ind w:left="0"/>
              <w:rPr>
                <w:rFonts w:ascii="Arial" w:eastAsia="Times New Roman" w:hAnsi="Arial" w:cs="Arial"/>
                <w:bCs/>
                <w:color w:val="auto"/>
              </w:rPr>
            </w:pPr>
          </w:p>
        </w:tc>
      </w:tr>
      <w:tr w:rsidR="00603FE3" w:rsidRPr="00B13488" w14:paraId="3E52D118" w14:textId="77777777" w:rsidTr="00E9260C">
        <w:tc>
          <w:tcPr>
            <w:tcW w:w="2966" w:type="pct"/>
          </w:tcPr>
          <w:p w14:paraId="67CD57F3" w14:textId="4F9C2B40" w:rsidR="00603FE3" w:rsidRPr="00B13488" w:rsidRDefault="00603FE3" w:rsidP="00E9260C">
            <w:pPr>
              <w:spacing w:before="0" w:after="0"/>
              <w:ind w:left="0"/>
              <w:rPr>
                <w:rFonts w:ascii="Arial" w:eastAsia="Times New Roman" w:hAnsi="Arial" w:cs="Arial"/>
                <w:b/>
                <w:bCs/>
                <w:color w:val="auto"/>
              </w:rPr>
            </w:pPr>
            <w:r w:rsidRPr="00B13488">
              <w:rPr>
                <w:rFonts w:ascii="Arial" w:eastAsia="Times New Roman" w:hAnsi="Arial" w:cs="Arial"/>
                <w:b/>
                <w:bCs/>
                <w:color w:val="auto"/>
              </w:rPr>
              <w:t xml:space="preserve">Assessor’s Name and Job Title: </w:t>
            </w:r>
            <w:r w:rsidR="00BE33B3" w:rsidRPr="00BE33B3">
              <w:rPr>
                <w:rFonts w:ascii="Arial" w:eastAsia="Times New Roman" w:hAnsi="Arial" w:cs="Arial"/>
                <w:color w:val="auto"/>
              </w:rPr>
              <w:t>Safeguarding Lead</w:t>
            </w:r>
          </w:p>
        </w:tc>
        <w:tc>
          <w:tcPr>
            <w:tcW w:w="2034" w:type="pct"/>
          </w:tcPr>
          <w:p w14:paraId="4BB3ED0D" w14:textId="6CC7D4DC" w:rsidR="00603FE3" w:rsidRPr="00B13488" w:rsidRDefault="00603FE3" w:rsidP="00E9260C">
            <w:pPr>
              <w:spacing w:before="0" w:after="0"/>
              <w:ind w:left="0"/>
              <w:rPr>
                <w:rFonts w:ascii="Arial" w:eastAsia="Times New Roman" w:hAnsi="Arial" w:cs="Arial"/>
                <w:bCs/>
                <w:color w:val="auto"/>
              </w:rPr>
            </w:pPr>
            <w:r w:rsidRPr="00B13488">
              <w:rPr>
                <w:rFonts w:ascii="Arial" w:eastAsia="Times New Roman" w:hAnsi="Arial" w:cs="Arial"/>
                <w:b/>
                <w:bCs/>
                <w:color w:val="auto"/>
              </w:rPr>
              <w:t>Date:</w:t>
            </w:r>
            <w:r w:rsidRPr="00B13488">
              <w:rPr>
                <w:rFonts w:ascii="Arial" w:eastAsia="Times New Roman" w:hAnsi="Arial" w:cs="Arial"/>
                <w:bCs/>
                <w:color w:val="auto"/>
              </w:rPr>
              <w:t xml:space="preserve"> </w:t>
            </w:r>
            <w:r w:rsidR="00BE33B3">
              <w:rPr>
                <w:rFonts w:ascii="Arial" w:eastAsia="Times New Roman" w:hAnsi="Arial" w:cs="Arial"/>
                <w:bCs/>
                <w:color w:val="auto"/>
              </w:rPr>
              <w:t>May 2022</w:t>
            </w:r>
          </w:p>
          <w:p w14:paraId="5099FB84" w14:textId="77777777" w:rsidR="00603FE3" w:rsidRPr="00B13488" w:rsidRDefault="00603FE3" w:rsidP="00E9260C">
            <w:pPr>
              <w:spacing w:before="0" w:after="0"/>
              <w:ind w:left="0"/>
              <w:rPr>
                <w:rFonts w:ascii="Arial" w:eastAsia="Times New Roman" w:hAnsi="Arial" w:cs="Arial"/>
                <w:bCs/>
                <w:color w:val="auto"/>
              </w:rPr>
            </w:pPr>
          </w:p>
        </w:tc>
      </w:tr>
    </w:tbl>
    <w:p w14:paraId="0A2C4CE7" w14:textId="77777777" w:rsidR="00603FE3" w:rsidRPr="00B13488" w:rsidRDefault="00603FE3" w:rsidP="00603FE3">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603FE3" w:rsidRPr="00B13488" w14:paraId="696C2860" w14:textId="77777777" w:rsidTr="00E9260C">
        <w:tc>
          <w:tcPr>
            <w:tcW w:w="5000" w:type="pct"/>
            <w:vAlign w:val="center"/>
          </w:tcPr>
          <w:p w14:paraId="608F02D2" w14:textId="77777777" w:rsidR="00603FE3" w:rsidRPr="00B13488" w:rsidRDefault="00603FE3" w:rsidP="00E9260C">
            <w:pPr>
              <w:spacing w:before="0" w:after="0"/>
              <w:ind w:left="0"/>
              <w:rPr>
                <w:rFonts w:ascii="Arial" w:eastAsia="Times New Roman" w:hAnsi="Arial" w:cs="Arial"/>
                <w:b/>
                <w:bCs/>
                <w:color w:val="000000"/>
              </w:rPr>
            </w:pPr>
            <w:r w:rsidRPr="00B13488">
              <w:rPr>
                <w:rFonts w:ascii="Arial" w:eastAsia="Times New Roman" w:hAnsi="Arial" w:cs="Arial"/>
                <w:b/>
                <w:bCs/>
                <w:color w:val="000000"/>
              </w:rPr>
              <w:t>OUTCOMES</w:t>
            </w:r>
          </w:p>
        </w:tc>
      </w:tr>
      <w:tr w:rsidR="00603FE3" w:rsidRPr="00B13488" w14:paraId="77EF6090" w14:textId="77777777" w:rsidTr="00E9260C">
        <w:tc>
          <w:tcPr>
            <w:tcW w:w="5000" w:type="pct"/>
          </w:tcPr>
          <w:p w14:paraId="7555CEE7" w14:textId="77777777" w:rsidR="00603FE3" w:rsidRPr="00B13488" w:rsidRDefault="00603FE3" w:rsidP="00E9260C">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 xml:space="preserve">Briefly describe the aim of the policy and state the intended outcomes for staff </w:t>
            </w:r>
          </w:p>
        </w:tc>
      </w:tr>
      <w:tr w:rsidR="00603FE3" w:rsidRPr="00B13488" w14:paraId="19EE6692" w14:textId="77777777" w:rsidTr="00E9260C">
        <w:trPr>
          <w:trHeight w:val="1129"/>
        </w:trPr>
        <w:tc>
          <w:tcPr>
            <w:tcW w:w="5000" w:type="pct"/>
          </w:tcPr>
          <w:p w14:paraId="35585CD7" w14:textId="42B66BD4" w:rsidR="00603FE3" w:rsidRPr="00B13488" w:rsidRDefault="00BE33B3" w:rsidP="00E9260C">
            <w:pPr>
              <w:autoSpaceDE w:val="0"/>
              <w:autoSpaceDN w:val="0"/>
              <w:adjustRightInd w:val="0"/>
              <w:spacing w:before="0" w:after="0"/>
              <w:ind w:left="0"/>
              <w:rPr>
                <w:rFonts w:ascii="Arial" w:eastAsia="Times New Roman" w:hAnsi="Arial" w:cs="Arial"/>
                <w:color w:val="000000"/>
              </w:rPr>
            </w:pPr>
            <w:r w:rsidRPr="00BE33B3">
              <w:rPr>
                <w:rFonts w:ascii="Arial" w:eastAsia="Times New Roman" w:hAnsi="Arial" w:cs="Arial"/>
                <w:color w:val="000000"/>
              </w:rPr>
              <w:t>This policy is aimed at safeguarding both adults and children from being drawn into terrorist related activity and to foster a consistent and proportionate approach to raising awareness of Prevent as part of the wider safeguarding duties of the ICB.</w:t>
            </w:r>
          </w:p>
        </w:tc>
      </w:tr>
      <w:tr w:rsidR="00603FE3" w:rsidRPr="00B13488" w14:paraId="10CE0BFF" w14:textId="77777777" w:rsidTr="00E9260C">
        <w:tc>
          <w:tcPr>
            <w:tcW w:w="5000" w:type="pct"/>
            <w:vAlign w:val="center"/>
          </w:tcPr>
          <w:p w14:paraId="69E1A6EF" w14:textId="77777777" w:rsidR="00603FE3" w:rsidRPr="00B13488" w:rsidRDefault="00603FE3" w:rsidP="00E9260C">
            <w:pPr>
              <w:spacing w:before="0" w:after="0"/>
              <w:ind w:left="0"/>
              <w:rPr>
                <w:rFonts w:ascii="Arial" w:eastAsia="Times New Roman" w:hAnsi="Arial" w:cs="Arial"/>
                <w:b/>
                <w:color w:val="auto"/>
              </w:rPr>
            </w:pPr>
            <w:r w:rsidRPr="00B13488">
              <w:rPr>
                <w:rFonts w:ascii="Arial" w:eastAsia="Times New Roman" w:hAnsi="Arial" w:cs="Arial"/>
                <w:b/>
                <w:color w:val="auto"/>
              </w:rPr>
              <w:t>EVIDENCE</w:t>
            </w:r>
          </w:p>
        </w:tc>
      </w:tr>
      <w:tr w:rsidR="00603FE3" w:rsidRPr="00B13488" w14:paraId="13EF0425" w14:textId="77777777" w:rsidTr="00E9260C">
        <w:tc>
          <w:tcPr>
            <w:tcW w:w="5000" w:type="pct"/>
          </w:tcPr>
          <w:p w14:paraId="4BAF0210" w14:textId="77777777" w:rsidR="00603FE3" w:rsidRPr="00B13488" w:rsidRDefault="00603FE3" w:rsidP="00E9260C">
            <w:pPr>
              <w:spacing w:before="0" w:after="0"/>
              <w:ind w:left="0"/>
              <w:rPr>
                <w:rFonts w:ascii="Arial" w:eastAsia="Times New Roman" w:hAnsi="Arial" w:cs="Arial"/>
                <w:b/>
                <w:i/>
                <w:iCs/>
                <w:color w:val="auto"/>
              </w:rPr>
            </w:pPr>
            <w:r w:rsidRPr="00B13488">
              <w:rPr>
                <w:rFonts w:ascii="Arial" w:eastAsia="Times New Roman" w:hAnsi="Arial" w:cs="Arial"/>
                <w:bCs/>
                <w:i/>
                <w:iCs/>
                <w:color w:val="auto"/>
              </w:rPr>
              <w:t>What data / information have you used to assess how this policy might impact on protected groups?</w:t>
            </w:r>
          </w:p>
        </w:tc>
      </w:tr>
      <w:tr w:rsidR="00603FE3" w:rsidRPr="00B13488" w14:paraId="3FE1C4B0" w14:textId="77777777" w:rsidTr="00E9260C">
        <w:trPr>
          <w:trHeight w:val="778"/>
        </w:trPr>
        <w:tc>
          <w:tcPr>
            <w:tcW w:w="5000" w:type="pct"/>
          </w:tcPr>
          <w:p w14:paraId="537EBB3C" w14:textId="388B4BAB" w:rsidR="00603FE3" w:rsidRPr="00BE33B3" w:rsidRDefault="00BE33B3" w:rsidP="00E9260C">
            <w:pPr>
              <w:spacing w:before="0" w:after="0"/>
              <w:ind w:left="0"/>
              <w:rPr>
                <w:rFonts w:ascii="Arial" w:eastAsia="Times New Roman" w:hAnsi="Arial" w:cs="Arial"/>
                <w:bCs/>
                <w:color w:val="auto"/>
              </w:rPr>
            </w:pPr>
            <w:r w:rsidRPr="00BE33B3">
              <w:rPr>
                <w:rFonts w:ascii="Arial" w:eastAsia="Times New Roman" w:hAnsi="Arial" w:cs="Arial"/>
                <w:bCs/>
                <w:color w:val="auto"/>
              </w:rPr>
              <w:t>N/A</w:t>
            </w:r>
          </w:p>
        </w:tc>
      </w:tr>
      <w:tr w:rsidR="00603FE3" w:rsidRPr="00B13488" w14:paraId="5D3618B2" w14:textId="77777777" w:rsidTr="00E9260C">
        <w:tc>
          <w:tcPr>
            <w:tcW w:w="5000" w:type="pct"/>
          </w:tcPr>
          <w:p w14:paraId="53437040" w14:textId="77777777" w:rsidR="00603FE3" w:rsidRPr="00B13488" w:rsidRDefault="00603FE3" w:rsidP="00E9260C">
            <w:pPr>
              <w:spacing w:before="0" w:after="0"/>
              <w:ind w:left="0"/>
              <w:rPr>
                <w:rFonts w:ascii="Arial" w:eastAsia="MS Mincho" w:hAnsi="Arial" w:cs="Arial"/>
                <w:bCs/>
                <w:i/>
                <w:iCs/>
                <w:color w:val="000000"/>
              </w:rPr>
            </w:pPr>
            <w:r w:rsidRPr="00B13488">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603FE3" w:rsidRPr="00B13488" w14:paraId="601D2F2D" w14:textId="77777777" w:rsidTr="00E9260C">
        <w:trPr>
          <w:trHeight w:val="285"/>
        </w:trPr>
        <w:tc>
          <w:tcPr>
            <w:tcW w:w="5000" w:type="pct"/>
          </w:tcPr>
          <w:p w14:paraId="53295CBD" w14:textId="77777777" w:rsidR="00603FE3" w:rsidRDefault="00BE33B3" w:rsidP="00E9260C">
            <w:pPr>
              <w:spacing w:before="0" w:after="0"/>
              <w:ind w:left="0"/>
              <w:rPr>
                <w:rFonts w:ascii="Arial" w:eastAsia="Times New Roman" w:hAnsi="Arial" w:cs="Arial"/>
                <w:color w:val="auto"/>
              </w:rPr>
            </w:pPr>
            <w:r>
              <w:rPr>
                <w:rFonts w:ascii="Arial" w:eastAsia="Times New Roman" w:hAnsi="Arial" w:cs="Arial"/>
                <w:color w:val="auto"/>
              </w:rPr>
              <w:t>N/A</w:t>
            </w:r>
          </w:p>
          <w:p w14:paraId="7F5E4F82" w14:textId="67340ED1" w:rsidR="00BE33B3" w:rsidRPr="00B13488" w:rsidRDefault="00BE33B3" w:rsidP="00E9260C">
            <w:pPr>
              <w:spacing w:before="0" w:after="0"/>
              <w:ind w:left="0"/>
              <w:rPr>
                <w:rFonts w:ascii="Arial" w:eastAsia="Times New Roman" w:hAnsi="Arial" w:cs="Arial"/>
                <w:color w:val="auto"/>
              </w:rPr>
            </w:pPr>
          </w:p>
        </w:tc>
      </w:tr>
    </w:tbl>
    <w:p w14:paraId="5AA7C26A" w14:textId="77777777" w:rsidR="00603FE3" w:rsidRPr="00B13488" w:rsidRDefault="00603FE3" w:rsidP="00603FE3">
      <w:pPr>
        <w:keepNext/>
        <w:keepLines/>
        <w:spacing w:before="240"/>
        <w:ind w:left="0"/>
        <w:outlineLvl w:val="0"/>
        <w:rPr>
          <w:rFonts w:asciiTheme="majorHAnsi" w:eastAsia="Times New Roman" w:hAnsiTheme="majorHAnsi" w:cstheme="majorBidi"/>
          <w:b/>
          <w:color w:val="auto"/>
        </w:rPr>
      </w:pPr>
      <w:r w:rsidRPr="00B13488">
        <w:rPr>
          <w:rFonts w:asciiTheme="majorHAnsi" w:eastAsia="MS Mincho" w:hAnsiTheme="majorHAnsi" w:cstheme="majorBidi"/>
          <w:b/>
        </w:rPr>
        <w:t xml:space="preserve">ANALYSIS OF IMPACT ON EQUALITY </w:t>
      </w:r>
    </w:p>
    <w:p w14:paraId="70DA3A04" w14:textId="77777777" w:rsidR="00603FE3" w:rsidRPr="00B13488" w:rsidRDefault="00603FE3" w:rsidP="00603FE3">
      <w:pPr>
        <w:spacing w:before="0" w:after="0"/>
        <w:ind w:left="0"/>
        <w:rPr>
          <w:rFonts w:ascii="Arial" w:eastAsia="Times New Roman" w:hAnsi="Arial" w:cs="Arial"/>
          <w:color w:val="auto"/>
        </w:rPr>
      </w:pPr>
      <w:r w:rsidRPr="00B13488">
        <w:rPr>
          <w:rFonts w:ascii="Arial" w:eastAsia="Times New Roman" w:hAnsi="Arial" w:cs="Arial"/>
          <w:color w:val="auto"/>
        </w:rPr>
        <w:t xml:space="preserve">The Public Sector Equality Duty requires us to </w:t>
      </w:r>
      <w:r w:rsidRPr="00B13488">
        <w:rPr>
          <w:rFonts w:ascii="Arial" w:eastAsia="Times New Roman" w:hAnsi="Arial" w:cs="Arial"/>
          <w:b/>
          <w:color w:val="auto"/>
        </w:rPr>
        <w:t>eliminate</w:t>
      </w:r>
      <w:r w:rsidRPr="00B13488">
        <w:rPr>
          <w:rFonts w:ascii="Arial" w:eastAsia="Times New Roman" w:hAnsi="Arial" w:cs="Arial"/>
          <w:color w:val="auto"/>
        </w:rPr>
        <w:t xml:space="preserve"> discrimination, </w:t>
      </w:r>
      <w:r w:rsidRPr="00B13488">
        <w:rPr>
          <w:rFonts w:ascii="Arial" w:eastAsia="Times New Roman" w:hAnsi="Arial" w:cs="Arial"/>
          <w:b/>
          <w:color w:val="auto"/>
        </w:rPr>
        <w:t>advance</w:t>
      </w:r>
      <w:r w:rsidRPr="00B13488">
        <w:rPr>
          <w:rFonts w:ascii="Arial" w:eastAsia="Times New Roman" w:hAnsi="Arial" w:cs="Arial"/>
          <w:color w:val="auto"/>
        </w:rPr>
        <w:t xml:space="preserve"> equality of opportunity and </w:t>
      </w:r>
      <w:r w:rsidRPr="00B13488">
        <w:rPr>
          <w:rFonts w:ascii="Arial" w:eastAsia="Times New Roman" w:hAnsi="Arial" w:cs="Arial"/>
          <w:b/>
          <w:color w:val="auto"/>
        </w:rPr>
        <w:t>foster</w:t>
      </w:r>
      <w:r w:rsidRPr="00B13488">
        <w:rPr>
          <w:rFonts w:ascii="Arial" w:eastAsia="Times New Roman" w:hAnsi="Arial" w:cs="Arial"/>
          <w:color w:val="auto"/>
        </w:rPr>
        <w:t xml:space="preserve"> good relations with protected groups.   Consider how this policy / service will achieve these aims.  </w:t>
      </w:r>
    </w:p>
    <w:p w14:paraId="7EF09FAA" w14:textId="77777777" w:rsidR="00603FE3" w:rsidRPr="00B13488" w:rsidRDefault="00603FE3" w:rsidP="00603FE3">
      <w:pPr>
        <w:spacing w:before="0" w:after="0"/>
        <w:ind w:left="0"/>
        <w:rPr>
          <w:rFonts w:ascii="Arial" w:eastAsia="Times New Roman" w:hAnsi="Arial" w:cs="Arial"/>
          <w:color w:val="auto"/>
        </w:rPr>
      </w:pPr>
    </w:p>
    <w:p w14:paraId="702A3278" w14:textId="77777777" w:rsidR="00603FE3" w:rsidRPr="00B13488" w:rsidRDefault="00603FE3" w:rsidP="00603FE3">
      <w:pPr>
        <w:spacing w:before="0" w:after="0"/>
        <w:ind w:left="0"/>
        <w:rPr>
          <w:rFonts w:ascii="Arial" w:eastAsia="Times New Roman" w:hAnsi="Arial" w:cs="Arial"/>
          <w:color w:val="auto"/>
        </w:rPr>
      </w:pPr>
      <w:r w:rsidRPr="00B13488">
        <w:rPr>
          <w:rFonts w:ascii="Arial" w:eastAsia="Times New Roman" w:hAnsi="Arial" w:cs="Arial"/>
          <w:color w:val="auto"/>
        </w:rPr>
        <w:t>N.B. In some cases it is legal to treat people differently (objective justification).</w:t>
      </w:r>
    </w:p>
    <w:p w14:paraId="1DDF0D39" w14:textId="77777777" w:rsidR="00603FE3" w:rsidRPr="00B13488" w:rsidRDefault="00603FE3" w:rsidP="00603FE3">
      <w:pPr>
        <w:spacing w:before="0" w:after="0"/>
        <w:ind w:left="0"/>
        <w:rPr>
          <w:rFonts w:ascii="Arial" w:eastAsia="Times New Roman" w:hAnsi="Arial" w:cs="Arial"/>
          <w:color w:val="auto"/>
        </w:rPr>
      </w:pPr>
    </w:p>
    <w:p w14:paraId="110AFF47" w14:textId="77777777" w:rsidR="00603FE3" w:rsidRPr="00B13488" w:rsidRDefault="00603FE3" w:rsidP="00603FE3">
      <w:pPr>
        <w:numPr>
          <w:ilvl w:val="0"/>
          <w:numId w:val="34"/>
        </w:numPr>
        <w:spacing w:before="0" w:after="0"/>
        <w:ind w:left="709" w:hanging="709"/>
        <w:rPr>
          <w:rFonts w:ascii="Arial" w:eastAsia="Times New Roman" w:hAnsi="Arial" w:cs="Arial"/>
          <w:i/>
          <w:color w:val="auto"/>
        </w:rPr>
      </w:pPr>
      <w:r w:rsidRPr="00B13488">
        <w:rPr>
          <w:rFonts w:ascii="Arial" w:eastAsia="Times New Roman" w:hAnsi="Arial" w:cs="Arial"/>
          <w:b/>
          <w:bCs/>
          <w:i/>
          <w:color w:val="auto"/>
        </w:rPr>
        <w:t>Positive outcome</w:t>
      </w:r>
      <w:r w:rsidRPr="00B13488">
        <w:rPr>
          <w:rFonts w:ascii="Arial" w:eastAsia="Times New Roman" w:hAnsi="Arial" w:cs="Arial"/>
          <w:i/>
          <w:color w:val="auto"/>
        </w:rPr>
        <w:t xml:space="preserve"> – the policy/service eliminates discrimination, advances equality of opportunity and fosters good relations with protected groups</w:t>
      </w:r>
    </w:p>
    <w:p w14:paraId="6DF009C7" w14:textId="77777777" w:rsidR="00603FE3" w:rsidRPr="00B13488" w:rsidRDefault="00603FE3" w:rsidP="00603FE3">
      <w:pPr>
        <w:numPr>
          <w:ilvl w:val="0"/>
          <w:numId w:val="34"/>
        </w:numPr>
        <w:spacing w:before="0" w:after="0"/>
        <w:ind w:left="709" w:hanging="709"/>
        <w:rPr>
          <w:rFonts w:ascii="Arial" w:eastAsia="Times New Roman" w:hAnsi="Arial" w:cs="Arial"/>
          <w:b/>
          <w:bCs/>
          <w:i/>
          <w:color w:val="auto"/>
        </w:rPr>
      </w:pPr>
      <w:r w:rsidRPr="00B13488">
        <w:rPr>
          <w:rFonts w:ascii="Arial" w:eastAsia="Times New Roman" w:hAnsi="Arial" w:cs="Arial"/>
          <w:b/>
          <w:bCs/>
          <w:i/>
          <w:color w:val="auto"/>
        </w:rPr>
        <w:t xml:space="preserve">Negative outcome </w:t>
      </w:r>
      <w:r w:rsidRPr="00B13488">
        <w:rPr>
          <w:rFonts w:ascii="Arial" w:eastAsia="Times New Roman" w:hAnsi="Arial" w:cs="Arial"/>
          <w:bCs/>
          <w:i/>
          <w:color w:val="auto"/>
        </w:rPr>
        <w:t>–</w:t>
      </w:r>
      <w:r w:rsidRPr="00B13488">
        <w:rPr>
          <w:rFonts w:ascii="Arial" w:eastAsia="Times New Roman" w:hAnsi="Arial" w:cs="Arial"/>
          <w:b/>
          <w:bCs/>
          <w:i/>
          <w:color w:val="auto"/>
        </w:rPr>
        <w:t xml:space="preserve"> </w:t>
      </w:r>
      <w:r w:rsidRPr="00B13488">
        <w:rPr>
          <w:rFonts w:ascii="Arial" w:eastAsia="Times New Roman" w:hAnsi="Arial" w:cs="Arial"/>
          <w:bCs/>
          <w:i/>
          <w:color w:val="auto"/>
        </w:rPr>
        <w:t>protected group(s) could be disadvantaged or discriminated against</w:t>
      </w:r>
    </w:p>
    <w:p w14:paraId="2CB3FFF8" w14:textId="77777777" w:rsidR="00603FE3" w:rsidRPr="00B13488" w:rsidRDefault="00603FE3" w:rsidP="00603FE3">
      <w:pPr>
        <w:numPr>
          <w:ilvl w:val="0"/>
          <w:numId w:val="34"/>
        </w:numPr>
        <w:spacing w:before="0" w:after="0"/>
        <w:ind w:left="709" w:hanging="709"/>
        <w:rPr>
          <w:rFonts w:ascii="Arial" w:eastAsia="Times New Roman" w:hAnsi="Arial" w:cs="Arial"/>
          <w:b/>
          <w:bCs/>
          <w:i/>
          <w:color w:val="auto"/>
        </w:rPr>
      </w:pPr>
      <w:r w:rsidRPr="00B13488">
        <w:rPr>
          <w:rFonts w:ascii="Arial" w:eastAsia="Times New Roman" w:hAnsi="Arial" w:cs="Arial"/>
          <w:b/>
          <w:bCs/>
          <w:i/>
          <w:color w:val="auto"/>
        </w:rPr>
        <w:t xml:space="preserve">Neutral outcome </w:t>
      </w:r>
      <w:r w:rsidRPr="00B13488">
        <w:rPr>
          <w:rFonts w:ascii="Arial" w:eastAsia="Times New Roman" w:hAnsi="Arial" w:cs="Arial"/>
          <w:bCs/>
          <w:i/>
          <w:color w:val="auto"/>
        </w:rPr>
        <w:t xml:space="preserve"> –</w:t>
      </w:r>
      <w:r w:rsidRPr="00B13488">
        <w:rPr>
          <w:rFonts w:ascii="Arial" w:eastAsia="Times New Roman" w:hAnsi="Arial" w:cs="Arial"/>
          <w:b/>
          <w:bCs/>
          <w:i/>
          <w:color w:val="auto"/>
        </w:rPr>
        <w:t xml:space="preserve"> </w:t>
      </w:r>
      <w:r w:rsidRPr="00B13488">
        <w:rPr>
          <w:rFonts w:ascii="Arial" w:eastAsia="Times New Roman" w:hAnsi="Arial" w:cs="Arial"/>
          <w:bCs/>
          <w:i/>
          <w:color w:val="auto"/>
        </w:rPr>
        <w:t>there is no effect currently on protected groups</w:t>
      </w:r>
    </w:p>
    <w:bookmarkEnd w:id="53"/>
    <w:p w14:paraId="106F9D7F" w14:textId="50A4A274" w:rsidR="00701C10" w:rsidRDefault="00701C10">
      <w:pPr>
        <w:spacing w:before="0" w:after="0"/>
        <w:ind w:left="0"/>
      </w:pPr>
      <w:r>
        <w:br w:type="page"/>
      </w:r>
    </w:p>
    <w:p w14:paraId="631FBCF9" w14:textId="77777777" w:rsidR="00603FE3" w:rsidRDefault="00603FE3" w:rsidP="00603FE3">
      <w:pPr>
        <w:ind w:left="0"/>
      </w:pPr>
      <w:r w:rsidRPr="000C4FAD">
        <w:t xml:space="preserve">Please tick to show if outcome is likely to be positive, </w:t>
      </w:r>
      <w:proofErr w:type="gramStart"/>
      <w:r w:rsidRPr="000C4FAD">
        <w:t>negative</w:t>
      </w:r>
      <w:proofErr w:type="gramEnd"/>
      <w:r w:rsidRPr="000C4FAD">
        <w:t xml:space="preserve"> or neutral.  Consider direct and indirect discrimination, </w:t>
      </w:r>
      <w:proofErr w:type="gramStart"/>
      <w:r w:rsidRPr="000C4FAD">
        <w:t>harassment</w:t>
      </w:r>
      <w:proofErr w:type="gramEnd"/>
      <w:r w:rsidRPr="000C4FAD">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nalysis of impact on equality"/>
      </w:tblPr>
      <w:tblGrid>
        <w:gridCol w:w="2259"/>
        <w:gridCol w:w="1174"/>
        <w:gridCol w:w="1176"/>
        <w:gridCol w:w="1176"/>
        <w:gridCol w:w="3231"/>
      </w:tblGrid>
      <w:tr w:rsidR="00E90CB2" w:rsidRPr="00615058" w14:paraId="5F40F284" w14:textId="77777777" w:rsidTr="00603FE3">
        <w:trPr>
          <w:cantSplit/>
          <w:trHeight w:val="841"/>
          <w:tblHeader/>
        </w:trPr>
        <w:tc>
          <w:tcPr>
            <w:tcW w:w="125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CA355B0" w14:textId="77777777" w:rsidR="00E90CB2" w:rsidRPr="00615058" w:rsidRDefault="00E90CB2" w:rsidP="00C2062B">
            <w:pPr>
              <w:pStyle w:val="NoSpacing"/>
              <w:rPr>
                <w:color w:val="FFFFFF" w:themeColor="background1"/>
              </w:rPr>
            </w:pPr>
            <w:r w:rsidRPr="00615058">
              <w:rPr>
                <w:color w:val="FFFFFF" w:themeColor="background1"/>
              </w:rPr>
              <w:t>Protected</w:t>
            </w:r>
          </w:p>
          <w:p w14:paraId="411AFD7B" w14:textId="77777777" w:rsidR="00E90CB2" w:rsidRPr="00615058" w:rsidRDefault="00E90CB2" w:rsidP="00C2062B">
            <w:pPr>
              <w:pStyle w:val="NoSpacing"/>
              <w:rPr>
                <w:color w:val="FFFFFF" w:themeColor="background1"/>
              </w:rPr>
            </w:pPr>
            <w:r w:rsidRPr="00615058">
              <w:rPr>
                <w:color w:val="FFFFFF" w:themeColor="background1"/>
              </w:rPr>
              <w:t>Group</w:t>
            </w:r>
          </w:p>
        </w:tc>
        <w:tc>
          <w:tcPr>
            <w:tcW w:w="651"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37B2888" w14:textId="77777777" w:rsidR="00E90CB2" w:rsidRPr="00615058" w:rsidRDefault="00E90CB2" w:rsidP="00C2062B">
            <w:pPr>
              <w:pStyle w:val="NoSpacing"/>
              <w:rPr>
                <w:color w:val="FFFFFF" w:themeColor="background1"/>
              </w:rPr>
            </w:pPr>
            <w:r w:rsidRPr="00615058">
              <w:rPr>
                <w:color w:val="FFFFFF" w:themeColor="background1"/>
              </w:rPr>
              <w:t>Positive</w:t>
            </w:r>
          </w:p>
          <w:p w14:paraId="66CEC2DE" w14:textId="77777777" w:rsidR="00E90CB2" w:rsidRPr="00615058" w:rsidRDefault="00E90CB2" w:rsidP="00C2062B">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516BA35" w14:textId="77777777" w:rsidR="00E90CB2" w:rsidRPr="00615058" w:rsidRDefault="00E90CB2" w:rsidP="00C2062B">
            <w:pPr>
              <w:pStyle w:val="NoSpacing"/>
              <w:rPr>
                <w:color w:val="FFFFFF" w:themeColor="background1"/>
              </w:rPr>
            </w:pPr>
            <w:r w:rsidRPr="00615058">
              <w:rPr>
                <w:color w:val="FFFFFF" w:themeColor="background1"/>
              </w:rPr>
              <w:t>Negative</w:t>
            </w:r>
          </w:p>
          <w:p w14:paraId="73F24AE2" w14:textId="77777777" w:rsidR="00E90CB2" w:rsidRPr="00615058" w:rsidRDefault="00E90CB2" w:rsidP="00C2062B">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12FB2D1" w14:textId="77777777" w:rsidR="00E90CB2" w:rsidRPr="00615058" w:rsidRDefault="00E90CB2" w:rsidP="00C2062B">
            <w:pPr>
              <w:pStyle w:val="NoSpacing"/>
              <w:rPr>
                <w:color w:val="FFFFFF" w:themeColor="background1"/>
              </w:rPr>
            </w:pPr>
            <w:r w:rsidRPr="00615058">
              <w:rPr>
                <w:color w:val="FFFFFF" w:themeColor="background1"/>
              </w:rPr>
              <w:t>Neutral</w:t>
            </w:r>
          </w:p>
          <w:p w14:paraId="0DEBD95D" w14:textId="77777777" w:rsidR="00E90CB2" w:rsidRPr="00615058" w:rsidRDefault="00E90CB2" w:rsidP="00C2062B">
            <w:pPr>
              <w:pStyle w:val="NoSpacing"/>
              <w:rPr>
                <w:color w:val="FFFFFF" w:themeColor="background1"/>
              </w:rPr>
            </w:pPr>
            <w:r w:rsidRPr="00615058">
              <w:rPr>
                <w:color w:val="FFFFFF" w:themeColor="background1"/>
              </w:rPr>
              <w:t>outcome</w:t>
            </w:r>
          </w:p>
        </w:tc>
        <w:tc>
          <w:tcPr>
            <w:tcW w:w="179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BFE8BAB" w14:textId="77777777" w:rsidR="00E90CB2" w:rsidRPr="00615058" w:rsidRDefault="00E90CB2" w:rsidP="00C2062B">
            <w:pPr>
              <w:pStyle w:val="NoSpacing"/>
              <w:rPr>
                <w:rFonts w:cs="Arial"/>
                <w:color w:val="FFFFFF" w:themeColor="background1"/>
              </w:rPr>
            </w:pPr>
            <w:bookmarkStart w:id="57" w:name="_Toc168389175"/>
            <w:r w:rsidRPr="00615058">
              <w:rPr>
                <w:rFonts w:cs="Arial"/>
                <w:color w:val="FFFFFF" w:themeColor="background1"/>
              </w:rPr>
              <w:t xml:space="preserve">Reason(s) for </w:t>
            </w:r>
            <w:bookmarkEnd w:id="57"/>
            <w:r w:rsidRPr="00615058">
              <w:rPr>
                <w:rFonts w:cs="Arial"/>
                <w:color w:val="FFFFFF" w:themeColor="background1"/>
              </w:rPr>
              <w:t>outcome</w:t>
            </w:r>
          </w:p>
        </w:tc>
      </w:tr>
      <w:tr w:rsidR="00E90CB2" w:rsidRPr="00F26504" w14:paraId="4A48AAFC" w14:textId="77777777" w:rsidTr="0003349A">
        <w:trPr>
          <w:trHeight w:val="403"/>
        </w:trPr>
        <w:tc>
          <w:tcPr>
            <w:tcW w:w="1253" w:type="pct"/>
            <w:tcBorders>
              <w:top w:val="single" w:sz="4" w:space="0" w:color="auto"/>
              <w:left w:val="single" w:sz="4" w:space="0" w:color="auto"/>
              <w:bottom w:val="single" w:sz="4" w:space="0" w:color="auto"/>
              <w:right w:val="single" w:sz="4" w:space="0" w:color="auto"/>
            </w:tcBorders>
            <w:vAlign w:val="center"/>
          </w:tcPr>
          <w:p w14:paraId="59A49229" w14:textId="77777777" w:rsidR="00E90CB2" w:rsidRPr="00F26504" w:rsidRDefault="00E90CB2" w:rsidP="00C2062B">
            <w:pPr>
              <w:pStyle w:val="NoSpacing"/>
            </w:pPr>
            <w:r w:rsidRPr="00F26504">
              <w:t>Age</w:t>
            </w:r>
          </w:p>
        </w:tc>
        <w:tc>
          <w:tcPr>
            <w:tcW w:w="651" w:type="pct"/>
            <w:tcBorders>
              <w:top w:val="single" w:sz="4" w:space="0" w:color="auto"/>
              <w:left w:val="single" w:sz="4" w:space="0" w:color="auto"/>
              <w:bottom w:val="single" w:sz="4" w:space="0" w:color="auto"/>
              <w:right w:val="single" w:sz="4" w:space="0" w:color="auto"/>
            </w:tcBorders>
            <w:vAlign w:val="center"/>
          </w:tcPr>
          <w:p w14:paraId="1988116E" w14:textId="77777777" w:rsidR="00E90CB2" w:rsidRPr="00F26504" w:rsidRDefault="00E90CB2" w:rsidP="00C2062B">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41156F8" w14:textId="77777777" w:rsidR="00E90CB2" w:rsidRPr="00F26504" w:rsidRDefault="00E90CB2" w:rsidP="0003349A">
            <w:pPr>
              <w:pStyle w:val="NoSpacing"/>
              <w:jc w:val="center"/>
            </w:pPr>
          </w:p>
        </w:tc>
        <w:tc>
          <w:tcPr>
            <w:tcW w:w="652" w:type="pct"/>
            <w:tcBorders>
              <w:top w:val="single" w:sz="4" w:space="0" w:color="auto"/>
              <w:left w:val="single" w:sz="4" w:space="0" w:color="auto"/>
              <w:bottom w:val="single" w:sz="4" w:space="0" w:color="auto"/>
              <w:right w:val="single" w:sz="4" w:space="0" w:color="auto"/>
            </w:tcBorders>
            <w:vAlign w:val="center"/>
          </w:tcPr>
          <w:p w14:paraId="78422FCC" w14:textId="1BAC1357" w:rsidR="00E90CB2" w:rsidRPr="00F26504" w:rsidRDefault="0003349A" w:rsidP="0003349A">
            <w:pPr>
              <w:pStyle w:val="NoSpacing"/>
              <w:jc w:val="center"/>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1E309ECC" w14:textId="66CB2DE2" w:rsidR="00E90CB2" w:rsidRPr="00F26504" w:rsidRDefault="0003349A" w:rsidP="00C2062B">
            <w:pPr>
              <w:pStyle w:val="NoSpacing"/>
            </w:pPr>
            <w:r>
              <w:t>No impact identified</w:t>
            </w:r>
          </w:p>
        </w:tc>
      </w:tr>
      <w:tr w:rsidR="00E90CB2" w:rsidRPr="00F26504" w14:paraId="575C2366" w14:textId="77777777" w:rsidTr="00603FE3">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0D46C32" w14:textId="77777777" w:rsidR="00E90CB2" w:rsidRDefault="00E90CB2" w:rsidP="00C2062B">
            <w:pPr>
              <w:pStyle w:val="NoSpacing"/>
            </w:pPr>
            <w:r w:rsidRPr="00F26504">
              <w:t>Disability</w:t>
            </w:r>
          </w:p>
          <w:p w14:paraId="5047B485" w14:textId="77777777" w:rsidR="00E90CB2" w:rsidRPr="00F26504" w:rsidRDefault="00E90CB2" w:rsidP="00C2062B">
            <w:pPr>
              <w:pStyle w:val="NoSpacing"/>
            </w:pPr>
            <w:r>
              <w:t>(Physical and Mental/Learning)</w:t>
            </w:r>
          </w:p>
        </w:tc>
        <w:tc>
          <w:tcPr>
            <w:tcW w:w="651" w:type="pct"/>
            <w:tcBorders>
              <w:top w:val="single" w:sz="4" w:space="0" w:color="auto"/>
              <w:left w:val="single" w:sz="4" w:space="0" w:color="auto"/>
              <w:bottom w:val="single" w:sz="4" w:space="0" w:color="auto"/>
              <w:right w:val="single" w:sz="4" w:space="0" w:color="auto"/>
            </w:tcBorders>
            <w:vAlign w:val="center"/>
          </w:tcPr>
          <w:p w14:paraId="69E543E8" w14:textId="6AE22328" w:rsidR="00E90CB2" w:rsidRPr="00F26504" w:rsidRDefault="0003349A" w:rsidP="0003349A">
            <w:pPr>
              <w:pStyle w:val="NoSpacing"/>
              <w:jc w:val="center"/>
            </w:pPr>
            <w:r>
              <w:t>x</w:t>
            </w:r>
          </w:p>
        </w:tc>
        <w:tc>
          <w:tcPr>
            <w:tcW w:w="652" w:type="pct"/>
            <w:tcBorders>
              <w:top w:val="single" w:sz="4" w:space="0" w:color="auto"/>
              <w:left w:val="single" w:sz="4" w:space="0" w:color="auto"/>
              <w:bottom w:val="single" w:sz="4" w:space="0" w:color="auto"/>
              <w:right w:val="single" w:sz="4" w:space="0" w:color="auto"/>
            </w:tcBorders>
            <w:vAlign w:val="center"/>
          </w:tcPr>
          <w:p w14:paraId="1B6B0336" w14:textId="77777777" w:rsidR="00E90CB2" w:rsidRPr="00F26504" w:rsidRDefault="00E90CB2" w:rsidP="00C2062B">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366DF9E" w14:textId="77777777" w:rsidR="00E90CB2" w:rsidRPr="00F26504" w:rsidRDefault="00E90CB2" w:rsidP="00C2062B">
            <w:pPr>
              <w:pStyle w:val="NoSpacing"/>
            </w:pPr>
          </w:p>
        </w:tc>
        <w:tc>
          <w:tcPr>
            <w:tcW w:w="1792" w:type="pct"/>
            <w:tcBorders>
              <w:top w:val="single" w:sz="4" w:space="0" w:color="auto"/>
              <w:left w:val="single" w:sz="4" w:space="0" w:color="auto"/>
              <w:bottom w:val="single" w:sz="4" w:space="0" w:color="auto"/>
              <w:right w:val="single" w:sz="4" w:space="0" w:color="auto"/>
            </w:tcBorders>
            <w:vAlign w:val="center"/>
          </w:tcPr>
          <w:p w14:paraId="14E3C0AC" w14:textId="2B20335E" w:rsidR="00E9260C" w:rsidRDefault="00E9260C" w:rsidP="00E9260C">
            <w:pPr>
              <w:pStyle w:val="NoSpacing"/>
            </w:pPr>
            <w:r>
              <w:t xml:space="preserve">NHS England have developed specific training packages to assist professionals working within mental health </w:t>
            </w:r>
            <w:proofErr w:type="spellStart"/>
            <w:r>
              <w:t>organisations</w:t>
            </w:r>
            <w:proofErr w:type="spellEnd"/>
            <w:r>
              <w:t xml:space="preserve"> to understand</w:t>
            </w:r>
          </w:p>
          <w:p w14:paraId="006352D7" w14:textId="77777777" w:rsidR="00E9260C" w:rsidRDefault="00E9260C" w:rsidP="00E9260C">
            <w:pPr>
              <w:pStyle w:val="NoSpacing"/>
            </w:pPr>
            <w:r>
              <w:t>the prevalence and vulnerability of individuals with mental ill health being</w:t>
            </w:r>
          </w:p>
          <w:p w14:paraId="7D6DB919" w14:textId="77777777" w:rsidR="00E9260C" w:rsidRDefault="00E9260C" w:rsidP="00E9260C">
            <w:pPr>
              <w:pStyle w:val="NoSpacing"/>
            </w:pPr>
            <w:r>
              <w:t xml:space="preserve">susceptible to being </w:t>
            </w:r>
            <w:proofErr w:type="spellStart"/>
            <w:r>
              <w:t>radicalised</w:t>
            </w:r>
            <w:proofErr w:type="spellEnd"/>
            <w:r>
              <w:t>. This policy aims to protect and prevent</w:t>
            </w:r>
          </w:p>
          <w:p w14:paraId="4C9DA8A8" w14:textId="45A0A524" w:rsidR="00E90CB2" w:rsidRPr="00F26504" w:rsidRDefault="00E9260C" w:rsidP="00E9260C">
            <w:pPr>
              <w:pStyle w:val="NoSpacing"/>
            </w:pPr>
            <w:r>
              <w:t xml:space="preserve">such individuals from being drawn into </w:t>
            </w:r>
            <w:proofErr w:type="spellStart"/>
            <w:r>
              <w:t>radicali</w:t>
            </w:r>
            <w:r w:rsidR="00E06773">
              <w:t>s</w:t>
            </w:r>
            <w:r>
              <w:t>ation</w:t>
            </w:r>
            <w:proofErr w:type="spellEnd"/>
            <w:r>
              <w:t>.</w:t>
            </w:r>
          </w:p>
        </w:tc>
      </w:tr>
      <w:tr w:rsidR="00E90CB2" w:rsidRPr="00F26504" w14:paraId="29F65659" w14:textId="77777777" w:rsidTr="00603FE3">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4C6EF41" w14:textId="77777777" w:rsidR="00E90CB2" w:rsidRPr="00F26504" w:rsidRDefault="00E90CB2" w:rsidP="00C2062B">
            <w:pPr>
              <w:pStyle w:val="NoSpacing"/>
            </w:pPr>
            <w:r>
              <w:t>Religion</w:t>
            </w:r>
            <w:r w:rsidRPr="00F26504">
              <w:t xml:space="preserve"> </w:t>
            </w:r>
            <w:r>
              <w:t>or</w:t>
            </w:r>
            <w:r w:rsidRPr="00F26504">
              <w:t xml:space="preserve"> </w:t>
            </w:r>
            <w:r>
              <w:t>b</w:t>
            </w:r>
            <w:r w:rsidRPr="00F26504">
              <w:t>elief</w:t>
            </w:r>
          </w:p>
        </w:tc>
        <w:tc>
          <w:tcPr>
            <w:tcW w:w="651" w:type="pct"/>
            <w:tcBorders>
              <w:top w:val="single" w:sz="4" w:space="0" w:color="auto"/>
              <w:left w:val="single" w:sz="4" w:space="0" w:color="auto"/>
              <w:bottom w:val="single" w:sz="4" w:space="0" w:color="auto"/>
              <w:right w:val="single" w:sz="4" w:space="0" w:color="auto"/>
            </w:tcBorders>
            <w:vAlign w:val="center"/>
          </w:tcPr>
          <w:p w14:paraId="5ED53301" w14:textId="77777777" w:rsidR="00E90CB2" w:rsidRPr="00F26504" w:rsidRDefault="00E90CB2" w:rsidP="00C2062B">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4129584" w14:textId="77777777" w:rsidR="00E90CB2" w:rsidRPr="00F26504" w:rsidRDefault="00E90CB2" w:rsidP="00C2062B">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7FEAEDC" w14:textId="74CF359B" w:rsidR="00E90CB2" w:rsidRPr="00F26504" w:rsidRDefault="00E06773" w:rsidP="00E06773">
            <w:pPr>
              <w:pStyle w:val="NoSpacing"/>
              <w:jc w:val="center"/>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4FBD7085" w14:textId="6636E087" w:rsidR="0003349A" w:rsidRDefault="00E9260C" w:rsidP="0003349A">
            <w:pPr>
              <w:pStyle w:val="NoSpacing"/>
            </w:pPr>
            <w:r w:rsidRPr="00E9260C">
              <w:t>There is potential for this policy to result in discrimination against different religions or beliefs</w:t>
            </w:r>
            <w:r w:rsidR="0003349A">
              <w:t xml:space="preserve">, for example the </w:t>
            </w:r>
            <w:proofErr w:type="spellStart"/>
            <w:r w:rsidR="0003349A">
              <w:t>stigmatising</w:t>
            </w:r>
            <w:proofErr w:type="spellEnd"/>
            <w:r w:rsidR="0003349A">
              <w:t xml:space="preserve"> and stereotyping of Muslims.</w:t>
            </w:r>
          </w:p>
          <w:p w14:paraId="108719D2" w14:textId="6A3D75DB" w:rsidR="00E90CB2" w:rsidRPr="00F26504" w:rsidRDefault="0003349A" w:rsidP="0003349A">
            <w:pPr>
              <w:pStyle w:val="NoSpacing"/>
            </w:pPr>
            <w:r>
              <w:t>To mitigate this impact the policy promotes training that aims to challenge these types of stereotypes and assumptions.</w:t>
            </w:r>
          </w:p>
        </w:tc>
      </w:tr>
      <w:tr w:rsidR="00E90CB2" w:rsidRPr="00F26504" w14:paraId="26AAC7DF" w14:textId="77777777" w:rsidTr="0003349A">
        <w:trPr>
          <w:trHeight w:val="379"/>
        </w:trPr>
        <w:tc>
          <w:tcPr>
            <w:tcW w:w="1253" w:type="pct"/>
            <w:tcBorders>
              <w:top w:val="single" w:sz="4" w:space="0" w:color="auto"/>
              <w:left w:val="single" w:sz="4" w:space="0" w:color="auto"/>
              <w:bottom w:val="single" w:sz="4" w:space="0" w:color="auto"/>
              <w:right w:val="single" w:sz="4" w:space="0" w:color="auto"/>
            </w:tcBorders>
            <w:vAlign w:val="center"/>
          </w:tcPr>
          <w:p w14:paraId="6A5B4BA0" w14:textId="77777777" w:rsidR="00E90CB2" w:rsidRPr="00F26504" w:rsidRDefault="00E90CB2" w:rsidP="00C2062B">
            <w:pPr>
              <w:pStyle w:val="NoSpacing"/>
            </w:pPr>
            <w:r>
              <w:t>Sex (Gender)</w:t>
            </w:r>
          </w:p>
        </w:tc>
        <w:tc>
          <w:tcPr>
            <w:tcW w:w="651" w:type="pct"/>
            <w:tcBorders>
              <w:top w:val="single" w:sz="4" w:space="0" w:color="auto"/>
              <w:left w:val="single" w:sz="4" w:space="0" w:color="auto"/>
              <w:bottom w:val="single" w:sz="4" w:space="0" w:color="auto"/>
              <w:right w:val="single" w:sz="4" w:space="0" w:color="auto"/>
            </w:tcBorders>
            <w:vAlign w:val="center"/>
          </w:tcPr>
          <w:p w14:paraId="4B713B46" w14:textId="77777777" w:rsidR="00E90CB2" w:rsidRPr="00F26504" w:rsidRDefault="00E90CB2" w:rsidP="00C2062B">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1FBD9D3" w14:textId="77777777" w:rsidR="00E90CB2" w:rsidRPr="00F26504" w:rsidRDefault="00E90CB2" w:rsidP="00C2062B">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5E054FC" w14:textId="77777777" w:rsidR="00E90CB2" w:rsidRPr="00F26504" w:rsidRDefault="00E90CB2" w:rsidP="00C2062B">
            <w:pPr>
              <w:pStyle w:val="NoSpacing"/>
            </w:pPr>
          </w:p>
        </w:tc>
        <w:tc>
          <w:tcPr>
            <w:tcW w:w="1792" w:type="pct"/>
            <w:tcBorders>
              <w:top w:val="single" w:sz="4" w:space="0" w:color="auto"/>
              <w:left w:val="single" w:sz="4" w:space="0" w:color="auto"/>
              <w:bottom w:val="single" w:sz="4" w:space="0" w:color="auto"/>
              <w:right w:val="single" w:sz="4" w:space="0" w:color="auto"/>
            </w:tcBorders>
            <w:vAlign w:val="center"/>
          </w:tcPr>
          <w:p w14:paraId="4A291F83" w14:textId="3D4711E5" w:rsidR="00E90CB2" w:rsidRPr="00F26504" w:rsidRDefault="0003349A" w:rsidP="00C2062B">
            <w:pPr>
              <w:pStyle w:val="NoSpacing"/>
            </w:pPr>
            <w:r>
              <w:t>No impact identified</w:t>
            </w:r>
          </w:p>
        </w:tc>
      </w:tr>
      <w:tr w:rsidR="00E90CB2" w:rsidRPr="00F26504" w14:paraId="760BA9A2" w14:textId="77777777" w:rsidTr="0003349A">
        <w:trPr>
          <w:trHeight w:val="401"/>
        </w:trPr>
        <w:tc>
          <w:tcPr>
            <w:tcW w:w="1253" w:type="pct"/>
            <w:tcBorders>
              <w:top w:val="single" w:sz="4" w:space="0" w:color="auto"/>
              <w:left w:val="single" w:sz="4" w:space="0" w:color="auto"/>
              <w:bottom w:val="single" w:sz="4" w:space="0" w:color="auto"/>
              <w:right w:val="single" w:sz="4" w:space="0" w:color="auto"/>
            </w:tcBorders>
            <w:vAlign w:val="center"/>
          </w:tcPr>
          <w:p w14:paraId="00C28358" w14:textId="77777777" w:rsidR="00E90CB2" w:rsidRPr="00F26504" w:rsidRDefault="00E90CB2" w:rsidP="00C2062B">
            <w:pPr>
              <w:pStyle w:val="NoSpacing"/>
            </w:pPr>
            <w:r w:rsidRPr="00F26504">
              <w:t xml:space="preserve">Sexual </w:t>
            </w:r>
          </w:p>
          <w:p w14:paraId="41356577" w14:textId="77777777" w:rsidR="00E90CB2" w:rsidRPr="00F26504" w:rsidRDefault="00E90CB2" w:rsidP="00C2062B">
            <w:pPr>
              <w:pStyle w:val="NoSpacing"/>
            </w:pPr>
            <w:r w:rsidRPr="00F26504">
              <w:t>Orientation</w:t>
            </w:r>
          </w:p>
        </w:tc>
        <w:tc>
          <w:tcPr>
            <w:tcW w:w="651" w:type="pct"/>
            <w:tcBorders>
              <w:top w:val="single" w:sz="4" w:space="0" w:color="auto"/>
              <w:left w:val="single" w:sz="4" w:space="0" w:color="auto"/>
              <w:bottom w:val="single" w:sz="4" w:space="0" w:color="auto"/>
              <w:right w:val="single" w:sz="4" w:space="0" w:color="auto"/>
            </w:tcBorders>
            <w:vAlign w:val="center"/>
          </w:tcPr>
          <w:p w14:paraId="38825D4D" w14:textId="77777777" w:rsidR="00E90CB2" w:rsidRPr="00F26504" w:rsidRDefault="00E90CB2" w:rsidP="00C2062B">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C421475" w14:textId="77777777" w:rsidR="00E90CB2" w:rsidRPr="00F26504" w:rsidRDefault="00E90CB2" w:rsidP="00C2062B">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E17C345" w14:textId="77777777" w:rsidR="00E90CB2" w:rsidRPr="00F26504" w:rsidRDefault="00E90CB2" w:rsidP="00C2062B">
            <w:pPr>
              <w:pStyle w:val="NoSpacing"/>
            </w:pPr>
          </w:p>
        </w:tc>
        <w:tc>
          <w:tcPr>
            <w:tcW w:w="1792" w:type="pct"/>
            <w:tcBorders>
              <w:top w:val="single" w:sz="4" w:space="0" w:color="auto"/>
              <w:left w:val="single" w:sz="4" w:space="0" w:color="auto"/>
              <w:bottom w:val="single" w:sz="4" w:space="0" w:color="auto"/>
              <w:right w:val="single" w:sz="4" w:space="0" w:color="auto"/>
            </w:tcBorders>
            <w:vAlign w:val="center"/>
          </w:tcPr>
          <w:p w14:paraId="40AADDCC" w14:textId="7465C783" w:rsidR="00E90CB2" w:rsidRPr="00F26504" w:rsidRDefault="0003349A" w:rsidP="00C2062B">
            <w:pPr>
              <w:pStyle w:val="NoSpacing"/>
            </w:pPr>
            <w:r>
              <w:t>No impact identified</w:t>
            </w:r>
          </w:p>
        </w:tc>
      </w:tr>
      <w:tr w:rsidR="00E90CB2" w:rsidRPr="00F26504" w14:paraId="499FA406" w14:textId="77777777" w:rsidTr="0003349A">
        <w:trPr>
          <w:trHeight w:val="428"/>
        </w:trPr>
        <w:tc>
          <w:tcPr>
            <w:tcW w:w="1253" w:type="pct"/>
            <w:tcBorders>
              <w:top w:val="single" w:sz="4" w:space="0" w:color="auto"/>
              <w:left w:val="single" w:sz="4" w:space="0" w:color="auto"/>
              <w:bottom w:val="single" w:sz="4" w:space="0" w:color="auto"/>
              <w:right w:val="single" w:sz="4" w:space="0" w:color="auto"/>
            </w:tcBorders>
            <w:vAlign w:val="center"/>
          </w:tcPr>
          <w:p w14:paraId="3877937A" w14:textId="77777777" w:rsidR="00E90CB2" w:rsidRPr="00F26504" w:rsidRDefault="00E90CB2" w:rsidP="00C2062B">
            <w:pPr>
              <w:pStyle w:val="NoSpacing"/>
            </w:pPr>
            <w:r>
              <w:t>Transgender/Gender Reassignment</w:t>
            </w:r>
          </w:p>
        </w:tc>
        <w:tc>
          <w:tcPr>
            <w:tcW w:w="651" w:type="pct"/>
            <w:tcBorders>
              <w:top w:val="single" w:sz="4" w:space="0" w:color="auto"/>
              <w:left w:val="single" w:sz="4" w:space="0" w:color="auto"/>
              <w:bottom w:val="single" w:sz="4" w:space="0" w:color="auto"/>
              <w:right w:val="single" w:sz="4" w:space="0" w:color="auto"/>
            </w:tcBorders>
            <w:vAlign w:val="center"/>
          </w:tcPr>
          <w:p w14:paraId="5E619140" w14:textId="77777777" w:rsidR="00E90CB2" w:rsidRPr="00F26504" w:rsidRDefault="00E90CB2" w:rsidP="00C2062B">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600E2D99" w14:textId="77777777" w:rsidR="00E90CB2" w:rsidRPr="00F26504" w:rsidRDefault="00E90CB2" w:rsidP="00C2062B">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AF82F42" w14:textId="77777777" w:rsidR="00E90CB2" w:rsidRPr="00F26504" w:rsidRDefault="00E90CB2" w:rsidP="00C2062B">
            <w:pPr>
              <w:pStyle w:val="NoSpacing"/>
            </w:pPr>
          </w:p>
        </w:tc>
        <w:tc>
          <w:tcPr>
            <w:tcW w:w="1792" w:type="pct"/>
            <w:tcBorders>
              <w:top w:val="single" w:sz="4" w:space="0" w:color="auto"/>
              <w:left w:val="single" w:sz="4" w:space="0" w:color="auto"/>
              <w:bottom w:val="single" w:sz="4" w:space="0" w:color="auto"/>
              <w:right w:val="single" w:sz="4" w:space="0" w:color="auto"/>
            </w:tcBorders>
            <w:vAlign w:val="center"/>
          </w:tcPr>
          <w:p w14:paraId="3E39C74D" w14:textId="3FD21FF4" w:rsidR="00E90CB2" w:rsidRPr="00F26504" w:rsidRDefault="0003349A" w:rsidP="00C2062B">
            <w:pPr>
              <w:pStyle w:val="NoSpacing"/>
            </w:pPr>
            <w:r>
              <w:t>No impact identified</w:t>
            </w:r>
          </w:p>
        </w:tc>
      </w:tr>
      <w:tr w:rsidR="00E90CB2" w:rsidRPr="00F26504" w14:paraId="70D80FD0" w14:textId="77777777" w:rsidTr="00603FE3">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C6445DC" w14:textId="77777777" w:rsidR="00E90CB2" w:rsidRPr="00F26504" w:rsidRDefault="00E90CB2" w:rsidP="00C2062B">
            <w:pPr>
              <w:pStyle w:val="NoSpacing"/>
            </w:pPr>
            <w:r>
              <w:t>Race and ethnicity</w:t>
            </w:r>
          </w:p>
        </w:tc>
        <w:tc>
          <w:tcPr>
            <w:tcW w:w="651" w:type="pct"/>
            <w:tcBorders>
              <w:top w:val="single" w:sz="4" w:space="0" w:color="auto"/>
              <w:left w:val="single" w:sz="4" w:space="0" w:color="auto"/>
              <w:bottom w:val="single" w:sz="4" w:space="0" w:color="auto"/>
              <w:right w:val="single" w:sz="4" w:space="0" w:color="auto"/>
            </w:tcBorders>
            <w:vAlign w:val="center"/>
          </w:tcPr>
          <w:p w14:paraId="7DD8CDED" w14:textId="77777777" w:rsidR="00E90CB2" w:rsidRPr="00F26504" w:rsidRDefault="00E90CB2" w:rsidP="00C2062B">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1610878" w14:textId="77777777" w:rsidR="00E90CB2" w:rsidRPr="00F26504" w:rsidRDefault="00E90CB2" w:rsidP="00C2062B">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28E9161" w14:textId="77777777" w:rsidR="00E90CB2" w:rsidRPr="00F26504" w:rsidRDefault="00E90CB2" w:rsidP="00C2062B">
            <w:pPr>
              <w:pStyle w:val="NoSpacing"/>
            </w:pPr>
          </w:p>
        </w:tc>
        <w:tc>
          <w:tcPr>
            <w:tcW w:w="1792" w:type="pct"/>
            <w:tcBorders>
              <w:top w:val="single" w:sz="4" w:space="0" w:color="auto"/>
              <w:left w:val="single" w:sz="4" w:space="0" w:color="auto"/>
              <w:bottom w:val="single" w:sz="4" w:space="0" w:color="auto"/>
              <w:right w:val="single" w:sz="4" w:space="0" w:color="auto"/>
            </w:tcBorders>
            <w:vAlign w:val="center"/>
          </w:tcPr>
          <w:p w14:paraId="0E1CFE2B" w14:textId="51ADB82E" w:rsidR="00E9260C" w:rsidRDefault="00E9260C" w:rsidP="0003349A">
            <w:pPr>
              <w:pStyle w:val="NoSpacing"/>
            </w:pPr>
            <w:r>
              <w:t>There is potential for this policy to result in discrimination against different races</w:t>
            </w:r>
            <w:r w:rsidR="0003349A">
              <w:t xml:space="preserve">, for example the </w:t>
            </w:r>
          </w:p>
          <w:p w14:paraId="3D5E7EBD" w14:textId="080295E0" w:rsidR="00E9260C" w:rsidRDefault="00E9260C" w:rsidP="00E9260C">
            <w:pPr>
              <w:pStyle w:val="NoSpacing"/>
            </w:pPr>
            <w:proofErr w:type="spellStart"/>
            <w:r>
              <w:t>stigmatising</w:t>
            </w:r>
            <w:proofErr w:type="spellEnd"/>
            <w:r>
              <w:t xml:space="preserve"> and stereotyping of Muslims</w:t>
            </w:r>
            <w:r w:rsidR="00E06773">
              <w:t xml:space="preserve"> of </w:t>
            </w:r>
            <w:r>
              <w:t>South Asian (</w:t>
            </w:r>
            <w:proofErr w:type="gramStart"/>
            <w:r>
              <w:t>e.g.</w:t>
            </w:r>
            <w:proofErr w:type="gramEnd"/>
            <w:r>
              <w:t xml:space="preserve"> Pakistani), Middle Eastern and African descent.</w:t>
            </w:r>
          </w:p>
          <w:p w14:paraId="326BE90B" w14:textId="258579D0" w:rsidR="00E90CB2" w:rsidRPr="00F26504" w:rsidRDefault="00E9260C" w:rsidP="00E9260C">
            <w:pPr>
              <w:pStyle w:val="NoSpacing"/>
            </w:pPr>
            <w:r>
              <w:t>T</w:t>
            </w:r>
            <w:r w:rsidR="00E06773">
              <w:t>o mitigate this impact the</w:t>
            </w:r>
            <w:r w:rsidR="0003349A">
              <w:t xml:space="preserve"> policy promotes </w:t>
            </w:r>
            <w:r>
              <w:t xml:space="preserve">training </w:t>
            </w:r>
            <w:r w:rsidR="0003349A">
              <w:t>that</w:t>
            </w:r>
            <w:r>
              <w:t xml:space="preserve"> aims to challenge </w:t>
            </w:r>
            <w:r w:rsidR="0003349A">
              <w:t xml:space="preserve">these types of </w:t>
            </w:r>
            <w:r>
              <w:t>stereotypes and assumptions</w:t>
            </w:r>
            <w:r w:rsidR="0003349A">
              <w:t>.</w:t>
            </w:r>
          </w:p>
        </w:tc>
      </w:tr>
      <w:tr w:rsidR="00E90CB2" w:rsidRPr="00F26504" w14:paraId="551CFC98" w14:textId="77777777" w:rsidTr="0003349A">
        <w:trPr>
          <w:trHeight w:val="987"/>
        </w:trPr>
        <w:tc>
          <w:tcPr>
            <w:tcW w:w="1253" w:type="pct"/>
            <w:tcBorders>
              <w:top w:val="single" w:sz="4" w:space="0" w:color="auto"/>
              <w:left w:val="single" w:sz="4" w:space="0" w:color="auto"/>
              <w:bottom w:val="single" w:sz="4" w:space="0" w:color="auto"/>
              <w:right w:val="single" w:sz="4" w:space="0" w:color="auto"/>
            </w:tcBorders>
            <w:vAlign w:val="center"/>
          </w:tcPr>
          <w:p w14:paraId="2BE394B0" w14:textId="77777777" w:rsidR="00E90CB2" w:rsidRPr="00427866" w:rsidRDefault="00E90CB2" w:rsidP="00C2062B">
            <w:pPr>
              <w:pStyle w:val="NoSpacing"/>
              <w:rPr>
                <w:rFonts w:cs="Arial"/>
              </w:rPr>
            </w:pPr>
            <w:r w:rsidRPr="00427866">
              <w:rPr>
                <w:rFonts w:cs="Arial"/>
              </w:rPr>
              <w:t>Pregnancy and maternity</w:t>
            </w:r>
            <w:r>
              <w:rPr>
                <w:rFonts w:cs="Arial"/>
              </w:rPr>
              <w:t xml:space="preserve"> (including breastfeeding mothers)</w:t>
            </w:r>
          </w:p>
        </w:tc>
        <w:tc>
          <w:tcPr>
            <w:tcW w:w="651" w:type="pct"/>
            <w:tcBorders>
              <w:top w:val="single" w:sz="4" w:space="0" w:color="auto"/>
              <w:left w:val="single" w:sz="4" w:space="0" w:color="auto"/>
              <w:bottom w:val="single" w:sz="4" w:space="0" w:color="auto"/>
              <w:right w:val="single" w:sz="4" w:space="0" w:color="auto"/>
            </w:tcBorders>
            <w:vAlign w:val="center"/>
          </w:tcPr>
          <w:p w14:paraId="54CBF861" w14:textId="77777777" w:rsidR="00E90CB2" w:rsidRPr="00F26504" w:rsidRDefault="00E90CB2" w:rsidP="00C2062B">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0049647" w14:textId="77777777" w:rsidR="00E90CB2" w:rsidRPr="00F26504" w:rsidRDefault="00E90CB2" w:rsidP="00C2062B">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B05F0FE" w14:textId="523B2DED" w:rsidR="00E90CB2" w:rsidRPr="00F26504" w:rsidRDefault="0003349A" w:rsidP="0003349A">
            <w:pPr>
              <w:pStyle w:val="NoSpacing"/>
              <w:jc w:val="center"/>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6DFB19E3" w14:textId="094269CB" w:rsidR="00E90CB2" w:rsidRPr="00F26504" w:rsidRDefault="0003349A" w:rsidP="00C2062B">
            <w:pPr>
              <w:pStyle w:val="NoSpacing"/>
            </w:pPr>
            <w:r>
              <w:t>No impact identified</w:t>
            </w:r>
          </w:p>
        </w:tc>
      </w:tr>
      <w:tr w:rsidR="00E90CB2" w:rsidRPr="00F26504" w14:paraId="79074D22" w14:textId="77777777" w:rsidTr="0003349A">
        <w:trPr>
          <w:cantSplit/>
          <w:trHeight w:val="534"/>
        </w:trPr>
        <w:tc>
          <w:tcPr>
            <w:tcW w:w="1253" w:type="pct"/>
            <w:tcBorders>
              <w:top w:val="single" w:sz="4" w:space="0" w:color="auto"/>
              <w:left w:val="single" w:sz="4" w:space="0" w:color="auto"/>
              <w:bottom w:val="single" w:sz="4" w:space="0" w:color="auto"/>
              <w:right w:val="single" w:sz="4" w:space="0" w:color="auto"/>
            </w:tcBorders>
            <w:vAlign w:val="center"/>
          </w:tcPr>
          <w:p w14:paraId="5413390C" w14:textId="77777777" w:rsidR="00E90CB2" w:rsidRPr="00427866" w:rsidRDefault="00E90CB2" w:rsidP="00C2062B">
            <w:pPr>
              <w:pStyle w:val="NoSpacing"/>
              <w:rPr>
                <w:rFonts w:cs="Arial"/>
              </w:rPr>
            </w:pPr>
            <w:r>
              <w:rPr>
                <w:rFonts w:cs="Arial"/>
              </w:rPr>
              <w:t>Marriage or Civil Partnership</w:t>
            </w:r>
          </w:p>
        </w:tc>
        <w:tc>
          <w:tcPr>
            <w:tcW w:w="651" w:type="pct"/>
            <w:tcBorders>
              <w:top w:val="single" w:sz="4" w:space="0" w:color="auto"/>
              <w:left w:val="single" w:sz="4" w:space="0" w:color="auto"/>
              <w:bottom w:val="single" w:sz="4" w:space="0" w:color="auto"/>
              <w:right w:val="single" w:sz="4" w:space="0" w:color="auto"/>
            </w:tcBorders>
            <w:vAlign w:val="center"/>
          </w:tcPr>
          <w:p w14:paraId="0080556F" w14:textId="77777777" w:rsidR="00E90CB2" w:rsidRPr="00F26504" w:rsidRDefault="00E90CB2" w:rsidP="00C2062B">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65A2F28" w14:textId="77777777" w:rsidR="00E90CB2" w:rsidRPr="00F26504" w:rsidRDefault="00E90CB2" w:rsidP="00C2062B">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CCFF556" w14:textId="435DCC37" w:rsidR="00E90CB2" w:rsidRPr="00F26504" w:rsidRDefault="0003349A" w:rsidP="0003349A">
            <w:pPr>
              <w:pStyle w:val="NoSpacing"/>
              <w:jc w:val="center"/>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3103C773" w14:textId="52A655EC" w:rsidR="00E90CB2" w:rsidRPr="00F26504" w:rsidRDefault="0003349A" w:rsidP="00C2062B">
            <w:pPr>
              <w:pStyle w:val="NoSpacing"/>
            </w:pPr>
            <w:r>
              <w:t>No impact identified</w:t>
            </w:r>
          </w:p>
        </w:tc>
      </w:tr>
    </w:tbl>
    <w:p w14:paraId="4869B601" w14:textId="77777777" w:rsidR="00BE33B3" w:rsidRDefault="00BE33B3" w:rsidP="00BE33B3">
      <w:pPr>
        <w:spacing w:before="0" w:after="0"/>
        <w:ind w:left="0"/>
      </w:pPr>
      <w:bookmarkStart w:id="58" w:name="_Toc8932655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BE33B3" w:rsidRPr="00B13488" w14:paraId="09BE20D0" w14:textId="77777777" w:rsidTr="00E9260C">
        <w:trPr>
          <w:trHeight w:val="269"/>
        </w:trPr>
        <w:tc>
          <w:tcPr>
            <w:tcW w:w="5000" w:type="pct"/>
            <w:tcBorders>
              <w:top w:val="single" w:sz="4" w:space="0" w:color="auto"/>
              <w:left w:val="single" w:sz="4" w:space="0" w:color="auto"/>
              <w:right w:val="single" w:sz="4" w:space="0" w:color="auto"/>
            </w:tcBorders>
          </w:tcPr>
          <w:p w14:paraId="64040845" w14:textId="77777777" w:rsidR="00BE33B3" w:rsidRPr="00B13488" w:rsidRDefault="00BE33B3" w:rsidP="00E9260C">
            <w:pPr>
              <w:spacing w:before="0" w:after="0"/>
              <w:ind w:left="0"/>
              <w:rPr>
                <w:rFonts w:asciiTheme="majorHAnsi" w:eastAsia="Times New Roman" w:hAnsiTheme="majorHAnsi" w:cstheme="majorBidi"/>
                <w:b/>
                <w:bCs/>
              </w:rPr>
            </w:pPr>
            <w:r w:rsidRPr="00B13488">
              <w:rPr>
                <w:b/>
                <w:bCs/>
              </w:rPr>
              <w:t>MONITORING OUTCOMES</w:t>
            </w:r>
          </w:p>
        </w:tc>
      </w:tr>
      <w:tr w:rsidR="00BE33B3" w:rsidRPr="00B13488" w14:paraId="6397766E" w14:textId="77777777" w:rsidTr="00E9260C">
        <w:trPr>
          <w:trHeight w:val="416"/>
        </w:trPr>
        <w:tc>
          <w:tcPr>
            <w:tcW w:w="5000" w:type="pct"/>
            <w:tcBorders>
              <w:top w:val="single" w:sz="4" w:space="0" w:color="auto"/>
              <w:left w:val="single" w:sz="4" w:space="0" w:color="auto"/>
              <w:right w:val="single" w:sz="4" w:space="0" w:color="auto"/>
            </w:tcBorders>
          </w:tcPr>
          <w:p w14:paraId="5DFD9058" w14:textId="77777777" w:rsidR="00BE33B3" w:rsidRPr="00B13488" w:rsidRDefault="00BE33B3" w:rsidP="00E9260C">
            <w:pPr>
              <w:spacing w:before="0" w:after="0"/>
              <w:ind w:left="0"/>
              <w:rPr>
                <w:rFonts w:ascii="Arial" w:eastAsia="Times New Roman" w:hAnsi="Arial" w:cs="Arial"/>
                <w:color w:val="auto"/>
              </w:rPr>
            </w:pPr>
            <w:r w:rsidRPr="00B13488">
              <w:rPr>
                <w:rFonts w:ascii="Arial" w:eastAsia="Times New Roman" w:hAnsi="Arial" w:cs="Arial"/>
                <w:color w:val="auto"/>
              </w:rPr>
              <w:t>Monitoring is an ongoing process to check outcomes.  It is different from a formal review which takes place at pre-agreed intervals.</w:t>
            </w:r>
          </w:p>
        </w:tc>
      </w:tr>
      <w:tr w:rsidR="00BE33B3" w:rsidRPr="00B13488" w14:paraId="5E7AE5A2" w14:textId="77777777" w:rsidTr="00E9260C">
        <w:trPr>
          <w:trHeight w:val="416"/>
        </w:trPr>
        <w:tc>
          <w:tcPr>
            <w:tcW w:w="5000" w:type="pct"/>
            <w:tcBorders>
              <w:top w:val="single" w:sz="4" w:space="0" w:color="auto"/>
              <w:left w:val="single" w:sz="4" w:space="0" w:color="auto"/>
              <w:right w:val="single" w:sz="4" w:space="0" w:color="auto"/>
            </w:tcBorders>
          </w:tcPr>
          <w:p w14:paraId="44A73A78" w14:textId="77777777" w:rsidR="00BE33B3" w:rsidRPr="00B13488" w:rsidRDefault="00BE33B3" w:rsidP="00E9260C">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What methods will you use to monitor outcomes on protected groups?</w:t>
            </w:r>
          </w:p>
        </w:tc>
      </w:tr>
      <w:tr w:rsidR="00BE33B3" w:rsidRPr="00B13488" w14:paraId="416848A7" w14:textId="77777777" w:rsidTr="00E9260C">
        <w:trPr>
          <w:trHeight w:val="1128"/>
        </w:trPr>
        <w:tc>
          <w:tcPr>
            <w:tcW w:w="5000" w:type="pct"/>
            <w:tcBorders>
              <w:top w:val="single" w:sz="4" w:space="0" w:color="auto"/>
              <w:left w:val="single" w:sz="4" w:space="0" w:color="auto"/>
              <w:right w:val="single" w:sz="4" w:space="0" w:color="auto"/>
            </w:tcBorders>
          </w:tcPr>
          <w:p w14:paraId="2BC8621A" w14:textId="09D63E77" w:rsidR="00BE33B3" w:rsidRPr="00B13488" w:rsidRDefault="00BE33B3" w:rsidP="00E9260C">
            <w:pPr>
              <w:spacing w:before="0" w:after="0"/>
              <w:ind w:left="0"/>
            </w:pPr>
            <w:r>
              <w:t xml:space="preserve">Analysis of complaints, claims, </w:t>
            </w:r>
            <w:proofErr w:type="gramStart"/>
            <w:r>
              <w:t>incidents</w:t>
            </w:r>
            <w:proofErr w:type="gramEnd"/>
            <w:r>
              <w:t xml:space="preserve"> and any other relevant data.  </w:t>
            </w:r>
          </w:p>
        </w:tc>
      </w:tr>
    </w:tbl>
    <w:p w14:paraId="58B7F3E7" w14:textId="77777777" w:rsidR="00BE33B3" w:rsidRDefault="00BE33B3" w:rsidP="00BE33B3">
      <w:pPr>
        <w:spacing w:before="0" w:after="0"/>
        <w:ind w:left="0"/>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BE33B3" w:rsidRPr="00B13488" w14:paraId="49F57503" w14:textId="77777777" w:rsidTr="00E9260C">
        <w:tc>
          <w:tcPr>
            <w:tcW w:w="5000" w:type="pct"/>
            <w:tcBorders>
              <w:left w:val="single" w:sz="4" w:space="0" w:color="auto"/>
              <w:right w:val="single" w:sz="4" w:space="0" w:color="auto"/>
            </w:tcBorders>
          </w:tcPr>
          <w:p w14:paraId="2414B877" w14:textId="77777777" w:rsidR="00BE33B3" w:rsidRPr="00B13488" w:rsidRDefault="00BE33B3" w:rsidP="00E9260C">
            <w:pPr>
              <w:spacing w:before="0" w:after="0"/>
              <w:ind w:left="0"/>
              <w:rPr>
                <w:rFonts w:ascii="Arial" w:eastAsia="MS Mincho" w:hAnsi="Arial" w:cs="Arial"/>
                <w:b/>
                <w:bCs/>
                <w:color w:val="000000"/>
              </w:rPr>
            </w:pPr>
            <w:r w:rsidRPr="00B13488">
              <w:rPr>
                <w:rFonts w:ascii="Arial" w:eastAsia="MS Mincho" w:hAnsi="Arial" w:cs="Arial"/>
                <w:b/>
                <w:bCs/>
                <w:color w:val="000000"/>
              </w:rPr>
              <w:t>REVIEW</w:t>
            </w:r>
          </w:p>
        </w:tc>
      </w:tr>
      <w:tr w:rsidR="00BE33B3" w:rsidRPr="00B13488" w14:paraId="7C78345A" w14:textId="77777777" w:rsidTr="00E9260C">
        <w:tc>
          <w:tcPr>
            <w:tcW w:w="5000" w:type="pct"/>
            <w:tcBorders>
              <w:left w:val="single" w:sz="4" w:space="0" w:color="auto"/>
              <w:right w:val="single" w:sz="4" w:space="0" w:color="auto"/>
            </w:tcBorders>
          </w:tcPr>
          <w:p w14:paraId="6896CE60" w14:textId="77777777" w:rsidR="00BE33B3" w:rsidRPr="00B13488" w:rsidRDefault="00BE33B3" w:rsidP="00E9260C">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 xml:space="preserve">How often will you review this policy / service? </w:t>
            </w:r>
          </w:p>
        </w:tc>
      </w:tr>
      <w:tr w:rsidR="00BE33B3" w:rsidRPr="00B13488" w14:paraId="28F5128B" w14:textId="77777777" w:rsidTr="00E9260C">
        <w:trPr>
          <w:trHeight w:val="687"/>
        </w:trPr>
        <w:tc>
          <w:tcPr>
            <w:tcW w:w="5000" w:type="pct"/>
            <w:tcBorders>
              <w:left w:val="single" w:sz="4" w:space="0" w:color="auto"/>
              <w:right w:val="single" w:sz="4" w:space="0" w:color="auto"/>
            </w:tcBorders>
          </w:tcPr>
          <w:p w14:paraId="2A7D6E16" w14:textId="23AE4FF7" w:rsidR="00BE33B3" w:rsidRPr="00B13488" w:rsidRDefault="00BE33B3" w:rsidP="00E9260C">
            <w:pPr>
              <w:spacing w:before="0" w:after="0"/>
              <w:ind w:left="0"/>
              <w:rPr>
                <w:rFonts w:ascii="Arial" w:eastAsia="Times New Roman" w:hAnsi="Arial" w:cs="Arial"/>
                <w:bCs/>
                <w:color w:val="auto"/>
              </w:rPr>
            </w:pPr>
            <w:r w:rsidRPr="00B13488">
              <w:rPr>
                <w:rFonts w:ascii="Arial" w:eastAsia="Times New Roman" w:hAnsi="Arial" w:cs="Arial"/>
                <w:bCs/>
                <w:color w:val="auto"/>
              </w:rPr>
              <w:t xml:space="preserve">Every </w:t>
            </w:r>
            <w:r>
              <w:rPr>
                <w:rFonts w:ascii="Arial" w:eastAsia="Times New Roman" w:hAnsi="Arial" w:cs="Arial"/>
                <w:bCs/>
                <w:color w:val="auto"/>
              </w:rPr>
              <w:t>2</w:t>
            </w:r>
            <w:r w:rsidRPr="00B13488">
              <w:rPr>
                <w:rFonts w:ascii="Arial" w:eastAsia="Times New Roman" w:hAnsi="Arial" w:cs="Arial"/>
                <w:bCs/>
                <w:color w:val="auto"/>
              </w:rPr>
              <w:t xml:space="preserve"> years as a minimum and earlier if there are any significant changes in legislation, </w:t>
            </w:r>
            <w:proofErr w:type="gramStart"/>
            <w:r w:rsidRPr="00B13488">
              <w:rPr>
                <w:rFonts w:ascii="Arial" w:eastAsia="Times New Roman" w:hAnsi="Arial" w:cs="Arial"/>
                <w:bCs/>
                <w:color w:val="auto"/>
              </w:rPr>
              <w:t>policy</w:t>
            </w:r>
            <w:proofErr w:type="gramEnd"/>
            <w:r w:rsidRPr="00B13488">
              <w:rPr>
                <w:rFonts w:ascii="Arial" w:eastAsia="Times New Roman" w:hAnsi="Arial" w:cs="Arial"/>
                <w:bCs/>
                <w:color w:val="auto"/>
              </w:rPr>
              <w:t xml:space="preserve"> or good practice.</w:t>
            </w:r>
          </w:p>
        </w:tc>
      </w:tr>
      <w:tr w:rsidR="00BE33B3" w:rsidRPr="00B13488" w14:paraId="76A35DAB" w14:textId="77777777" w:rsidTr="00E9260C">
        <w:tc>
          <w:tcPr>
            <w:tcW w:w="5000" w:type="pct"/>
            <w:tcBorders>
              <w:left w:val="single" w:sz="4" w:space="0" w:color="auto"/>
              <w:right w:val="single" w:sz="4" w:space="0" w:color="auto"/>
            </w:tcBorders>
          </w:tcPr>
          <w:p w14:paraId="5CD51C16" w14:textId="77777777" w:rsidR="00BE33B3" w:rsidRPr="00B13488" w:rsidRDefault="00BE33B3" w:rsidP="00E9260C">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If a review process is not in place, what plans do you have to establish one?</w:t>
            </w:r>
          </w:p>
        </w:tc>
      </w:tr>
      <w:tr w:rsidR="00BE33B3" w:rsidRPr="00B13488" w14:paraId="55DA68D6" w14:textId="77777777" w:rsidTr="00E9260C">
        <w:trPr>
          <w:trHeight w:val="275"/>
        </w:trPr>
        <w:tc>
          <w:tcPr>
            <w:tcW w:w="5000" w:type="pct"/>
            <w:tcBorders>
              <w:left w:val="single" w:sz="4" w:space="0" w:color="auto"/>
              <w:right w:val="single" w:sz="4" w:space="0" w:color="auto"/>
            </w:tcBorders>
          </w:tcPr>
          <w:p w14:paraId="744D559D" w14:textId="77777777" w:rsidR="00BE33B3" w:rsidRPr="00B13488" w:rsidRDefault="00BE33B3" w:rsidP="00E9260C">
            <w:pPr>
              <w:spacing w:before="0" w:after="0"/>
              <w:ind w:left="0"/>
              <w:rPr>
                <w:rFonts w:ascii="Arial" w:eastAsia="Times New Roman" w:hAnsi="Arial" w:cs="Arial"/>
                <w:bCs/>
                <w:color w:val="auto"/>
              </w:rPr>
            </w:pPr>
            <w:r w:rsidRPr="00B13488">
              <w:rPr>
                <w:rFonts w:ascii="Arial" w:eastAsia="Times New Roman" w:hAnsi="Arial" w:cs="Arial"/>
                <w:bCs/>
                <w:color w:val="auto"/>
              </w:rPr>
              <w:t>N/A</w:t>
            </w:r>
          </w:p>
        </w:tc>
      </w:tr>
      <w:bookmarkEnd w:id="58"/>
    </w:tbl>
    <w:p w14:paraId="129441FE" w14:textId="5CB466BE" w:rsidR="00D044E7" w:rsidRDefault="00D044E7" w:rsidP="00BE33B3">
      <w:pPr>
        <w:ind w:left="0"/>
      </w:pPr>
    </w:p>
    <w:sectPr w:rsidR="00D044E7" w:rsidSect="00553B7A">
      <w:headerReference w:type="default" r:id="rId17"/>
      <w:footerReference w:type="default" r:id="rId18"/>
      <w:headerReference w:type="first" r:id="rId19"/>
      <w:pgSz w:w="11906" w:h="16838"/>
      <w:pgMar w:top="1129"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EF797" w14:textId="77777777" w:rsidR="00E85C3D" w:rsidRDefault="00E85C3D" w:rsidP="00EB783D">
      <w:pPr>
        <w:spacing w:before="0" w:after="0"/>
      </w:pPr>
      <w:r>
        <w:separator/>
      </w:r>
    </w:p>
  </w:endnote>
  <w:endnote w:type="continuationSeparator" w:id="0">
    <w:p w14:paraId="35DD7AE2" w14:textId="77777777" w:rsidR="00E85C3D" w:rsidRDefault="00E85C3D"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06945AF2" w:rsidR="00E9260C" w:rsidRPr="00A91472" w:rsidRDefault="00E9260C" w:rsidP="00EB783D">
    <w:pPr>
      <w:pStyle w:val="Footer"/>
      <w:ind w:left="0"/>
    </w:pPr>
    <w:r w:rsidRPr="00D2182C">
      <w:rPr>
        <w:rFonts w:ascii="Arial" w:eastAsia="Times New Roman" w:hAnsi="Arial" w:cs="Arial"/>
        <w:color w:val="auto"/>
        <w:lang w:val="en-US" w:eastAsia="en-GB"/>
      </w:rPr>
      <w:t xml:space="preserve">Safeguarding </w:t>
    </w:r>
    <w:sdt>
      <w:sdtPr>
        <w:rPr>
          <w:rFonts w:ascii="Arial" w:eastAsia="Times New Roman" w:hAnsi="Arial" w:cs="Arial"/>
          <w:color w:val="auto"/>
          <w:lang w:val="en-US" w:eastAsia="en-GB"/>
        </w:r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4259F3">
          <w:rPr>
            <w:rFonts w:ascii="Arial" w:eastAsia="Times New Roman" w:hAnsi="Arial" w:cs="Arial"/>
            <w:color w:val="auto"/>
            <w:lang w:val="en-US" w:eastAsia="en-GB"/>
          </w:rPr>
          <w:t>Policy 04 Counterterrorism and Security Act 2015 V1.0</w:t>
        </w:r>
      </w:sdtContent>
    </w:sdt>
    <w:r w:rsidRPr="00C1239F">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r w:rsidR="00E85C3D">
      <w:fldChar w:fldCharType="begin"/>
    </w:r>
    <w:r w:rsidR="00E85C3D">
      <w:instrText xml:space="preserve"> NUMPAGES </w:instrText>
    </w:r>
    <w:r w:rsidR="00E85C3D">
      <w:fldChar w:fldCharType="separate"/>
    </w:r>
    <w:r>
      <w:t>11</w:t>
    </w:r>
    <w:r w:rsidR="00E85C3D">
      <w:fldChar w:fldCharType="end"/>
    </w:r>
  </w:p>
  <w:p w14:paraId="387B9B1B" w14:textId="77777777" w:rsidR="00E9260C" w:rsidRDefault="00E926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4933" w14:textId="77777777" w:rsidR="00E85C3D" w:rsidRDefault="00E85C3D" w:rsidP="00EB783D">
      <w:pPr>
        <w:spacing w:before="0" w:after="0"/>
      </w:pPr>
      <w:r>
        <w:separator/>
      </w:r>
    </w:p>
  </w:footnote>
  <w:footnote w:type="continuationSeparator" w:id="0">
    <w:p w14:paraId="3D0517B5" w14:textId="77777777" w:rsidR="00E85C3D" w:rsidRDefault="00E85C3D"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0EDE0A86" w:rsidR="00E9260C" w:rsidRDefault="00E9260C"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475E8857" w:rsidR="00E9260C" w:rsidRDefault="00E9260C">
    <w:pPr>
      <w:pStyle w:val="Header"/>
    </w:pPr>
    <w:r>
      <w:rPr>
        <w:noProof/>
      </w:rPr>
      <w:drawing>
        <wp:anchor distT="0" distB="0" distL="114300" distR="114300" simplePos="0" relativeHeight="251665408" behindDoc="0" locked="0" layoutInCell="1" allowOverlap="1" wp14:anchorId="746B21CE" wp14:editId="1D57EF24">
          <wp:simplePos x="0" y="0"/>
          <wp:positionH relativeFrom="column">
            <wp:posOffset>4168140</wp:posOffset>
          </wp:positionH>
          <wp:positionV relativeFrom="paragraph">
            <wp:posOffset>170815</wp:posOffset>
          </wp:positionV>
          <wp:extent cx="1767840" cy="763905"/>
          <wp:effectExtent l="0" t="0" r="3810" b="0"/>
          <wp:wrapThrough wrapText="bothSides">
            <wp:wrapPolygon edited="0">
              <wp:start x="0" y="0"/>
              <wp:lineTo x="0" y="21007"/>
              <wp:lineTo x="21414" y="21007"/>
              <wp:lineTo x="21414"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7840" cy="7639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2614FB1" wp14:editId="13DEEE6B">
          <wp:simplePos x="0" y="0"/>
          <wp:positionH relativeFrom="column">
            <wp:posOffset>0</wp:posOffset>
          </wp:positionH>
          <wp:positionV relativeFrom="paragraph">
            <wp:posOffset>170815</wp:posOffset>
          </wp:positionV>
          <wp:extent cx="2225040" cy="646430"/>
          <wp:effectExtent l="0" t="0" r="3810" b="381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5040" cy="646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D3C86"/>
    <w:multiLevelType w:val="hybridMultilevel"/>
    <w:tmpl w:val="64B03F3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 w15:restartNumberingAfterBreak="0">
    <w:nsid w:val="0E7F61F7"/>
    <w:multiLevelType w:val="hybridMultilevel"/>
    <w:tmpl w:val="34A2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B01AE"/>
    <w:multiLevelType w:val="multilevel"/>
    <w:tmpl w:val="2348C22C"/>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037918"/>
    <w:multiLevelType w:val="hybridMultilevel"/>
    <w:tmpl w:val="B7AA628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193C5713"/>
    <w:multiLevelType w:val="hybridMultilevel"/>
    <w:tmpl w:val="80AE01C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AA37716"/>
    <w:multiLevelType w:val="hybridMultilevel"/>
    <w:tmpl w:val="B99ACD98"/>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8" w15:restartNumberingAfterBreak="0">
    <w:nsid w:val="2E72156D"/>
    <w:multiLevelType w:val="hybridMultilevel"/>
    <w:tmpl w:val="202C8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353E09"/>
    <w:multiLevelType w:val="hybridMultilevel"/>
    <w:tmpl w:val="52A04D8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41343233"/>
    <w:multiLevelType w:val="multilevel"/>
    <w:tmpl w:val="B0D2EA3A"/>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2"/>
      <w:lvlText w:val="%1.%2.%3."/>
      <w:lvlJc w:val="left"/>
      <w:pPr>
        <w:ind w:left="1418" w:hanging="1134"/>
      </w:pPr>
      <w:rPr>
        <w:rFonts w:hint="default"/>
        <w:b w:val="0"/>
        <w:bCs w:val="0"/>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4E12AE9"/>
    <w:multiLevelType w:val="hybridMultilevel"/>
    <w:tmpl w:val="EA5687C2"/>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456565C0"/>
    <w:multiLevelType w:val="hybridMultilevel"/>
    <w:tmpl w:val="6F3E241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6D7943"/>
    <w:multiLevelType w:val="hybridMultilevel"/>
    <w:tmpl w:val="7FC0879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58E57F5A"/>
    <w:multiLevelType w:val="hybridMultilevel"/>
    <w:tmpl w:val="56AC71E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35F0555"/>
    <w:multiLevelType w:val="hybridMultilevel"/>
    <w:tmpl w:val="D2603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8182587"/>
    <w:multiLevelType w:val="hybridMultilevel"/>
    <w:tmpl w:val="F06263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8357FF"/>
    <w:multiLevelType w:val="hybridMultilevel"/>
    <w:tmpl w:val="51FCA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053C23"/>
    <w:multiLevelType w:val="hybridMultilevel"/>
    <w:tmpl w:val="8C34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22"/>
  </w:num>
  <w:num w:numId="4">
    <w:abstractNumId w:val="6"/>
  </w:num>
  <w:num w:numId="5">
    <w:abstractNumId w:val="18"/>
  </w:num>
  <w:num w:numId="6">
    <w:abstractNumId w:val="20"/>
  </w:num>
  <w:num w:numId="7">
    <w:abstractNumId w:val="10"/>
  </w:num>
  <w:num w:numId="8">
    <w:abstractNumId w:val="25"/>
  </w:num>
  <w:num w:numId="9">
    <w:abstractNumId w:val="3"/>
  </w:num>
  <w:num w:numId="10">
    <w:abstractNumId w:val="15"/>
  </w:num>
  <w:num w:numId="11">
    <w:abstractNumId w:val="24"/>
  </w:num>
  <w:num w:numId="12">
    <w:abstractNumId w:val="4"/>
  </w:num>
  <w:num w:numId="13">
    <w:abstractNumId w:val="23"/>
  </w:num>
  <w:num w:numId="14">
    <w:abstractNumId w:val="8"/>
  </w:num>
  <w:num w:numId="15">
    <w:abstractNumId w:val="5"/>
  </w:num>
  <w:num w:numId="16">
    <w:abstractNumId w:val="0"/>
  </w:num>
  <w:num w:numId="17">
    <w:abstractNumId w:val="7"/>
  </w:num>
  <w:num w:numId="18">
    <w:abstractNumId w:val="21"/>
  </w:num>
  <w:num w:numId="19">
    <w:abstractNumId w:val="13"/>
  </w:num>
  <w:num w:numId="20">
    <w:abstractNumId w:val="1"/>
  </w:num>
  <w:num w:numId="21">
    <w:abstractNumId w:val="25"/>
  </w:num>
  <w:num w:numId="22">
    <w:abstractNumId w:val="27"/>
  </w:num>
  <w:num w:numId="23">
    <w:abstractNumId w:val="12"/>
  </w:num>
  <w:num w:numId="24">
    <w:abstractNumId w:val="12"/>
  </w:num>
  <w:num w:numId="25">
    <w:abstractNumId w:val="26"/>
  </w:num>
  <w:num w:numId="26">
    <w:abstractNumId w:val="25"/>
  </w:num>
  <w:num w:numId="27">
    <w:abstractNumId w:val="12"/>
  </w:num>
  <w:num w:numId="28">
    <w:abstractNumId w:val="12"/>
  </w:num>
  <w:num w:numId="29">
    <w:abstractNumId w:val="17"/>
  </w:num>
  <w:num w:numId="30">
    <w:abstractNumId w:val="12"/>
  </w:num>
  <w:num w:numId="31">
    <w:abstractNumId w:val="14"/>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9"/>
  </w:num>
  <w:num w:numId="35">
    <w:abstractNumId w:val="11"/>
  </w:num>
  <w:num w:numId="3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2181"/>
    <w:rsid w:val="00005E44"/>
    <w:rsid w:val="00023BF3"/>
    <w:rsid w:val="00032882"/>
    <w:rsid w:val="0003349A"/>
    <w:rsid w:val="00033ADA"/>
    <w:rsid w:val="00042121"/>
    <w:rsid w:val="00051D31"/>
    <w:rsid w:val="00053CDD"/>
    <w:rsid w:val="000665B0"/>
    <w:rsid w:val="00066E3C"/>
    <w:rsid w:val="00094E08"/>
    <w:rsid w:val="00094FB7"/>
    <w:rsid w:val="000D4BF9"/>
    <w:rsid w:val="000E7681"/>
    <w:rsid w:val="000F560D"/>
    <w:rsid w:val="000F77F5"/>
    <w:rsid w:val="001069D2"/>
    <w:rsid w:val="001203F4"/>
    <w:rsid w:val="00125894"/>
    <w:rsid w:val="0013180C"/>
    <w:rsid w:val="001372BC"/>
    <w:rsid w:val="00137B4C"/>
    <w:rsid w:val="00142E57"/>
    <w:rsid w:val="0016312F"/>
    <w:rsid w:val="00163568"/>
    <w:rsid w:val="001817B0"/>
    <w:rsid w:val="00182901"/>
    <w:rsid w:val="0018348A"/>
    <w:rsid w:val="00186694"/>
    <w:rsid w:val="00186922"/>
    <w:rsid w:val="001946F0"/>
    <w:rsid w:val="001A642F"/>
    <w:rsid w:val="001B214F"/>
    <w:rsid w:val="001D2701"/>
    <w:rsid w:val="001F1907"/>
    <w:rsid w:val="001F263C"/>
    <w:rsid w:val="001F2F57"/>
    <w:rsid w:val="00201DAA"/>
    <w:rsid w:val="00225AB9"/>
    <w:rsid w:val="0023686E"/>
    <w:rsid w:val="00240AE2"/>
    <w:rsid w:val="00250FB0"/>
    <w:rsid w:val="00254FFE"/>
    <w:rsid w:val="00284D1B"/>
    <w:rsid w:val="0029297D"/>
    <w:rsid w:val="002B0977"/>
    <w:rsid w:val="002B38FE"/>
    <w:rsid w:val="002E3F80"/>
    <w:rsid w:val="002E59FA"/>
    <w:rsid w:val="002F10AF"/>
    <w:rsid w:val="0030319F"/>
    <w:rsid w:val="00304E94"/>
    <w:rsid w:val="00315494"/>
    <w:rsid w:val="00324D0B"/>
    <w:rsid w:val="00331F09"/>
    <w:rsid w:val="00333918"/>
    <w:rsid w:val="00340852"/>
    <w:rsid w:val="00343A4F"/>
    <w:rsid w:val="00375DF6"/>
    <w:rsid w:val="003771EC"/>
    <w:rsid w:val="003A0076"/>
    <w:rsid w:val="003A3718"/>
    <w:rsid w:val="003A663C"/>
    <w:rsid w:val="003B2614"/>
    <w:rsid w:val="003B2B2E"/>
    <w:rsid w:val="003C6732"/>
    <w:rsid w:val="003C6E42"/>
    <w:rsid w:val="0041054F"/>
    <w:rsid w:val="004163E8"/>
    <w:rsid w:val="00423189"/>
    <w:rsid w:val="004259F3"/>
    <w:rsid w:val="004863A3"/>
    <w:rsid w:val="004A1ADD"/>
    <w:rsid w:val="004A4C30"/>
    <w:rsid w:val="004B4DDF"/>
    <w:rsid w:val="004B5733"/>
    <w:rsid w:val="004B6BF3"/>
    <w:rsid w:val="004D5D72"/>
    <w:rsid w:val="004E639D"/>
    <w:rsid w:val="004F0A3E"/>
    <w:rsid w:val="00512406"/>
    <w:rsid w:val="00514203"/>
    <w:rsid w:val="00514424"/>
    <w:rsid w:val="00515097"/>
    <w:rsid w:val="00517A66"/>
    <w:rsid w:val="00525967"/>
    <w:rsid w:val="00527455"/>
    <w:rsid w:val="00527DDE"/>
    <w:rsid w:val="005374C5"/>
    <w:rsid w:val="00546A28"/>
    <w:rsid w:val="00553B7A"/>
    <w:rsid w:val="00562866"/>
    <w:rsid w:val="00564DAC"/>
    <w:rsid w:val="00573B7F"/>
    <w:rsid w:val="00573E47"/>
    <w:rsid w:val="00597FE5"/>
    <w:rsid w:val="005A3A8B"/>
    <w:rsid w:val="005A735F"/>
    <w:rsid w:val="005D183C"/>
    <w:rsid w:val="00603FE3"/>
    <w:rsid w:val="00610177"/>
    <w:rsid w:val="006134A1"/>
    <w:rsid w:val="00647C80"/>
    <w:rsid w:val="006606C1"/>
    <w:rsid w:val="0067072A"/>
    <w:rsid w:val="00682281"/>
    <w:rsid w:val="0068694C"/>
    <w:rsid w:val="006979B5"/>
    <w:rsid w:val="006A3B30"/>
    <w:rsid w:val="006B3E9C"/>
    <w:rsid w:val="006E384D"/>
    <w:rsid w:val="00701C10"/>
    <w:rsid w:val="00702FCE"/>
    <w:rsid w:val="00706434"/>
    <w:rsid w:val="00716D9A"/>
    <w:rsid w:val="00722847"/>
    <w:rsid w:val="00723E2F"/>
    <w:rsid w:val="00724173"/>
    <w:rsid w:val="00732AFE"/>
    <w:rsid w:val="00741D9B"/>
    <w:rsid w:val="00746E2A"/>
    <w:rsid w:val="00747B7B"/>
    <w:rsid w:val="00766494"/>
    <w:rsid w:val="00766EA3"/>
    <w:rsid w:val="00773653"/>
    <w:rsid w:val="00774655"/>
    <w:rsid w:val="00781F15"/>
    <w:rsid w:val="00784662"/>
    <w:rsid w:val="00786BF0"/>
    <w:rsid w:val="00791502"/>
    <w:rsid w:val="007E38F7"/>
    <w:rsid w:val="007E3E48"/>
    <w:rsid w:val="007E502E"/>
    <w:rsid w:val="007E67FB"/>
    <w:rsid w:val="007F0D44"/>
    <w:rsid w:val="0080718D"/>
    <w:rsid w:val="00821F56"/>
    <w:rsid w:val="00826D33"/>
    <w:rsid w:val="008344D6"/>
    <w:rsid w:val="00836E35"/>
    <w:rsid w:val="00842F2E"/>
    <w:rsid w:val="00843CF9"/>
    <w:rsid w:val="00844D34"/>
    <w:rsid w:val="008507F0"/>
    <w:rsid w:val="0085341D"/>
    <w:rsid w:val="0086467C"/>
    <w:rsid w:val="00871BC0"/>
    <w:rsid w:val="00873F49"/>
    <w:rsid w:val="008766E4"/>
    <w:rsid w:val="008778F9"/>
    <w:rsid w:val="00887057"/>
    <w:rsid w:val="00890F53"/>
    <w:rsid w:val="008A64F1"/>
    <w:rsid w:val="008A71C1"/>
    <w:rsid w:val="008D034C"/>
    <w:rsid w:val="008D47F6"/>
    <w:rsid w:val="008D5E4F"/>
    <w:rsid w:val="008E4397"/>
    <w:rsid w:val="008E4B53"/>
    <w:rsid w:val="008F2E7F"/>
    <w:rsid w:val="00902943"/>
    <w:rsid w:val="009102C2"/>
    <w:rsid w:val="00911C7E"/>
    <w:rsid w:val="00914065"/>
    <w:rsid w:val="00914C5C"/>
    <w:rsid w:val="0091743F"/>
    <w:rsid w:val="00925741"/>
    <w:rsid w:val="009322E1"/>
    <w:rsid w:val="00941CDE"/>
    <w:rsid w:val="0094762C"/>
    <w:rsid w:val="0095120A"/>
    <w:rsid w:val="0096475D"/>
    <w:rsid w:val="00967546"/>
    <w:rsid w:val="00967B15"/>
    <w:rsid w:val="00974605"/>
    <w:rsid w:val="009774BB"/>
    <w:rsid w:val="00987A58"/>
    <w:rsid w:val="009A7716"/>
    <w:rsid w:val="009B3B8C"/>
    <w:rsid w:val="009C310E"/>
    <w:rsid w:val="009C506B"/>
    <w:rsid w:val="009C523D"/>
    <w:rsid w:val="009D0FF3"/>
    <w:rsid w:val="009D1227"/>
    <w:rsid w:val="009E299E"/>
    <w:rsid w:val="009F46DD"/>
    <w:rsid w:val="009F5EEA"/>
    <w:rsid w:val="009F76DB"/>
    <w:rsid w:val="00A02D1C"/>
    <w:rsid w:val="00A14002"/>
    <w:rsid w:val="00A16E5D"/>
    <w:rsid w:val="00A2003E"/>
    <w:rsid w:val="00A2015F"/>
    <w:rsid w:val="00A23003"/>
    <w:rsid w:val="00A27770"/>
    <w:rsid w:val="00A35A9B"/>
    <w:rsid w:val="00A50A6B"/>
    <w:rsid w:val="00AA308C"/>
    <w:rsid w:val="00AC2DF1"/>
    <w:rsid w:val="00AD5B62"/>
    <w:rsid w:val="00AE3317"/>
    <w:rsid w:val="00AF2767"/>
    <w:rsid w:val="00B047A2"/>
    <w:rsid w:val="00B15D54"/>
    <w:rsid w:val="00B16842"/>
    <w:rsid w:val="00B218EE"/>
    <w:rsid w:val="00B2237D"/>
    <w:rsid w:val="00B22ED4"/>
    <w:rsid w:val="00B24DD6"/>
    <w:rsid w:val="00B25A5E"/>
    <w:rsid w:val="00B31CD9"/>
    <w:rsid w:val="00B420E7"/>
    <w:rsid w:val="00B42D17"/>
    <w:rsid w:val="00B56A28"/>
    <w:rsid w:val="00B74F9D"/>
    <w:rsid w:val="00B80EAE"/>
    <w:rsid w:val="00B915BD"/>
    <w:rsid w:val="00B931B9"/>
    <w:rsid w:val="00B93E78"/>
    <w:rsid w:val="00BA1067"/>
    <w:rsid w:val="00BC030A"/>
    <w:rsid w:val="00BC37D3"/>
    <w:rsid w:val="00BD0A75"/>
    <w:rsid w:val="00BD523F"/>
    <w:rsid w:val="00BE33B3"/>
    <w:rsid w:val="00BE4E2D"/>
    <w:rsid w:val="00C10865"/>
    <w:rsid w:val="00C2062B"/>
    <w:rsid w:val="00C25DF4"/>
    <w:rsid w:val="00C26FBF"/>
    <w:rsid w:val="00C31806"/>
    <w:rsid w:val="00C4088C"/>
    <w:rsid w:val="00C5403E"/>
    <w:rsid w:val="00C819CD"/>
    <w:rsid w:val="00CA0BBC"/>
    <w:rsid w:val="00CA5558"/>
    <w:rsid w:val="00CB2919"/>
    <w:rsid w:val="00D044E7"/>
    <w:rsid w:val="00D0495F"/>
    <w:rsid w:val="00D2182C"/>
    <w:rsid w:val="00D360D5"/>
    <w:rsid w:val="00D44C21"/>
    <w:rsid w:val="00D469A2"/>
    <w:rsid w:val="00D56619"/>
    <w:rsid w:val="00D56D58"/>
    <w:rsid w:val="00D627A4"/>
    <w:rsid w:val="00D653EF"/>
    <w:rsid w:val="00D658C6"/>
    <w:rsid w:val="00D8594A"/>
    <w:rsid w:val="00D9038F"/>
    <w:rsid w:val="00DA06E2"/>
    <w:rsid w:val="00DB2ACD"/>
    <w:rsid w:val="00DD7B4B"/>
    <w:rsid w:val="00DE3EFB"/>
    <w:rsid w:val="00DE5D2D"/>
    <w:rsid w:val="00E06773"/>
    <w:rsid w:val="00E13D65"/>
    <w:rsid w:val="00E13FE0"/>
    <w:rsid w:val="00E158C2"/>
    <w:rsid w:val="00E15FA3"/>
    <w:rsid w:val="00E23D89"/>
    <w:rsid w:val="00E507A5"/>
    <w:rsid w:val="00E509FD"/>
    <w:rsid w:val="00E57BC8"/>
    <w:rsid w:val="00E60D8C"/>
    <w:rsid w:val="00E62382"/>
    <w:rsid w:val="00E676C7"/>
    <w:rsid w:val="00E71B15"/>
    <w:rsid w:val="00E72976"/>
    <w:rsid w:val="00E815BC"/>
    <w:rsid w:val="00E84149"/>
    <w:rsid w:val="00E85C3D"/>
    <w:rsid w:val="00E90CB2"/>
    <w:rsid w:val="00E91FF0"/>
    <w:rsid w:val="00E9260C"/>
    <w:rsid w:val="00EB3F99"/>
    <w:rsid w:val="00EB44FF"/>
    <w:rsid w:val="00EB783D"/>
    <w:rsid w:val="00ED5A3F"/>
    <w:rsid w:val="00EE399C"/>
    <w:rsid w:val="00F029DB"/>
    <w:rsid w:val="00F0461E"/>
    <w:rsid w:val="00F05E9E"/>
    <w:rsid w:val="00F11524"/>
    <w:rsid w:val="00F142C3"/>
    <w:rsid w:val="00F14F7D"/>
    <w:rsid w:val="00F27F39"/>
    <w:rsid w:val="00F46746"/>
    <w:rsid w:val="00F6021A"/>
    <w:rsid w:val="00F62DAC"/>
    <w:rsid w:val="00F90DDB"/>
    <w:rsid w:val="00F913CD"/>
    <w:rsid w:val="00FB1CD4"/>
    <w:rsid w:val="00FB3C48"/>
    <w:rsid w:val="00FB619D"/>
    <w:rsid w:val="00FB795F"/>
    <w:rsid w:val="00FC1801"/>
    <w:rsid w:val="00FC7C60"/>
    <w:rsid w:val="00FD2B5D"/>
    <w:rsid w:val="00FD4938"/>
    <w:rsid w:val="00FE5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ind w:left="1276"/>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C10865"/>
    <w:pPr>
      <w:tabs>
        <w:tab w:val="left" w:pos="1134"/>
        <w:tab w:val="right" w:leader="underscore" w:pos="9016"/>
      </w:tabs>
      <w:spacing w:before="160" w:after="6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paragraph" w:customStyle="1" w:styleId="Default">
    <w:name w:val="Default"/>
    <w:rsid w:val="008D5E4F"/>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D658C6"/>
    <w:rPr>
      <w:color w:val="00A399" w:themeColor="followedHyperlink"/>
      <w:u w:val="single"/>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29297D"/>
    <w:rPr>
      <w:rFonts w:cs="Times New Roman (Body CS)"/>
      <w:color w:val="231F2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05/9/contents" TargetMode="External"/><Relationship Id="rId13" Type="http://schemas.openxmlformats.org/officeDocument/2006/relationships/hyperlink" Target="https://www.legislation.gov.uk/ukpga/2015/6/contents/enacte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event@essex.pnn.police.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uffolksp.org.uk/assets/Prevent-Training-and-Competencies-Framework-2021-v4.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vent@essex.gov.uk" TargetMode="External"/><Relationship Id="rId5" Type="http://schemas.openxmlformats.org/officeDocument/2006/relationships/webSettings" Target="webSettings.xml"/><Relationship Id="rId15" Type="http://schemas.openxmlformats.org/officeDocument/2006/relationships/hyperlink" Target="https://www.gov.uk/government/publications/building-partnerships-staying-safe-guidance-for-healthcare-organisations" TargetMode="External"/><Relationship Id="rId10" Type="http://schemas.openxmlformats.org/officeDocument/2006/relationships/hyperlink" Target="https://www.essexsab.org.uk/professionals/guidance-policies-protocol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gov.uk/government/publications/prevent-duty-guidanc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0</TotalTime>
  <Pages>1</Pages>
  <Words>4624</Words>
  <Characters>26360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Policy 04 Counterterrorism and Security Act 2015 V1.0</vt:lpstr>
    </vt:vector>
  </TitlesOfParts>
  <Manager/>
  <Company/>
  <LinksUpToDate>false</LinksUpToDate>
  <CharactersWithSpaces>30923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04 Counterterrorism and Security Act 2015 V1.0</dc:title>
  <dc:subject/>
  <dc:creator>Adams Nicola (07G) Thurrock CCG</dc:creator>
  <cp:keywords/>
  <dc:description/>
  <cp:lastModifiedBy>TANNETT, Charlotte (NHS MID ESSEX CCG)</cp:lastModifiedBy>
  <cp:revision>2</cp:revision>
  <cp:lastPrinted>2021-12-03T14:01:00Z</cp:lastPrinted>
  <dcterms:created xsi:type="dcterms:W3CDTF">2022-07-08T09:25:00Z</dcterms:created>
  <dcterms:modified xsi:type="dcterms:W3CDTF">2022-07-08T09:25:00Z</dcterms:modified>
  <cp:category/>
</cp:coreProperties>
</file>