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1328" w14:textId="77777777" w:rsidR="00F87060" w:rsidRDefault="009C523D" w:rsidP="00E91A92">
      <w:pPr>
        <w:pStyle w:val="Title"/>
        <w:jc w:val="center"/>
      </w:pPr>
      <w:bookmarkStart w:id="0" w:name="_Toc85717490"/>
      <w:r>
        <w:br/>
      </w:r>
      <w:r>
        <w:br/>
      </w:r>
    </w:p>
    <w:p w14:paraId="72515B83" w14:textId="77777777" w:rsidR="00F87060" w:rsidRDefault="00F87060" w:rsidP="00E91A92">
      <w:pPr>
        <w:pStyle w:val="Title"/>
        <w:jc w:val="center"/>
      </w:pPr>
    </w:p>
    <w:p w14:paraId="0194349C" w14:textId="77777777" w:rsidR="00F87060" w:rsidRDefault="00F87060" w:rsidP="00E91A92">
      <w:pPr>
        <w:pStyle w:val="Title"/>
        <w:jc w:val="center"/>
      </w:pPr>
    </w:p>
    <w:p w14:paraId="433D5A21" w14:textId="77777777" w:rsidR="00F87060" w:rsidRDefault="00F87060" w:rsidP="00E91A92">
      <w:pPr>
        <w:pStyle w:val="Title"/>
        <w:jc w:val="center"/>
      </w:pPr>
    </w:p>
    <w:p w14:paraId="4FEEC066" w14:textId="77777777" w:rsidR="00F87060" w:rsidRDefault="00F87060" w:rsidP="00E91A92">
      <w:pPr>
        <w:pStyle w:val="Title"/>
        <w:jc w:val="center"/>
      </w:pPr>
    </w:p>
    <w:p w14:paraId="668E8989" w14:textId="77777777" w:rsidR="00F87060" w:rsidRDefault="00F87060" w:rsidP="00E91A92">
      <w:pPr>
        <w:pStyle w:val="Title"/>
        <w:jc w:val="center"/>
      </w:pPr>
    </w:p>
    <w:p w14:paraId="78F2A3F0" w14:textId="1557DB8E" w:rsidR="00E91A92" w:rsidRPr="00632E13" w:rsidRDefault="009C523D" w:rsidP="00F87060">
      <w:pPr>
        <w:pStyle w:val="Title"/>
        <w:jc w:val="both"/>
        <w:rPr>
          <w:sz w:val="72"/>
          <w:szCs w:val="72"/>
        </w:rPr>
      </w:pPr>
      <w:r>
        <w:br/>
      </w:r>
      <w:r>
        <w:br/>
      </w:r>
      <w:bookmarkStart w:id="1" w:name="_Hlk108013582"/>
      <w:bookmarkStart w:id="2" w:name="_Toc88478171"/>
      <w:bookmarkEnd w:id="0"/>
      <w:r w:rsidR="00E91A92" w:rsidRPr="00632E13">
        <w:rPr>
          <w:sz w:val="72"/>
          <w:szCs w:val="72"/>
        </w:rPr>
        <w:t>All Age Continuing Care (AACC)</w:t>
      </w:r>
    </w:p>
    <w:p w14:paraId="0F8837E9" w14:textId="77777777" w:rsidR="00E91A92" w:rsidRPr="00632E13" w:rsidRDefault="00E91A92" w:rsidP="00F87060">
      <w:pPr>
        <w:jc w:val="both"/>
        <w:rPr>
          <w:sz w:val="72"/>
          <w:szCs w:val="72"/>
        </w:rPr>
      </w:pPr>
    </w:p>
    <w:p w14:paraId="14ACB7D8" w14:textId="5791153E" w:rsidR="003A663C" w:rsidRPr="003A663C" w:rsidRDefault="00E91A92" w:rsidP="00F87060">
      <w:pPr>
        <w:pStyle w:val="Title"/>
        <w:jc w:val="both"/>
      </w:pPr>
      <w:r w:rsidRPr="00632E13">
        <w:rPr>
          <w:sz w:val="72"/>
          <w:szCs w:val="72"/>
        </w:rPr>
        <w:t>Operational Policy</w:t>
      </w:r>
      <w:r>
        <w:t xml:space="preserve"> </w:t>
      </w:r>
      <w:bookmarkEnd w:id="1"/>
      <w:r w:rsidR="003A663C">
        <w:br w:type="page"/>
      </w:r>
    </w:p>
    <w:p w14:paraId="4115932A" w14:textId="77777777" w:rsidR="00FD2B5D" w:rsidRDefault="00FD2B5D" w:rsidP="00FD2B5D">
      <w:pPr>
        <w:pStyle w:val="Heading1"/>
      </w:pPr>
      <w:r w:rsidRPr="00DA22B6">
        <w:t>Document Control:</w:t>
      </w:r>
      <w:bookmarkEnd w:id="2"/>
    </w:p>
    <w:tbl>
      <w:tblPr>
        <w:tblStyle w:val="TableGrid"/>
        <w:tblW w:w="9072" w:type="dxa"/>
        <w:tblInd w:w="-5" w:type="dxa"/>
        <w:tblLook w:val="04A0" w:firstRow="1" w:lastRow="0" w:firstColumn="1" w:lastColumn="0" w:noHBand="0" w:noVBand="1"/>
      </w:tblPr>
      <w:tblGrid>
        <w:gridCol w:w="4395"/>
        <w:gridCol w:w="4677"/>
      </w:tblGrid>
      <w:tr w:rsidR="00632E13" w:rsidRPr="00632E13" w14:paraId="51426865" w14:textId="77777777" w:rsidTr="00632E13">
        <w:trPr>
          <w:tblHeader/>
        </w:trPr>
        <w:tc>
          <w:tcPr>
            <w:tcW w:w="4395" w:type="dxa"/>
            <w:shd w:val="clear" w:color="auto" w:fill="003087" w:themeFill="accent1"/>
          </w:tcPr>
          <w:p w14:paraId="5B6887EC" w14:textId="2C7E02D4" w:rsidR="00632E13" w:rsidRPr="00632E13" w:rsidRDefault="00632E13" w:rsidP="00AE3E3F">
            <w:pPr>
              <w:spacing w:before="0" w:after="0"/>
              <w:ind w:left="0"/>
              <w:rPr>
                <w:b/>
                <w:bCs/>
                <w:color w:val="FFFFFF" w:themeColor="background1"/>
              </w:rPr>
            </w:pPr>
            <w:r w:rsidRPr="00632E13">
              <w:rPr>
                <w:b/>
                <w:bCs/>
                <w:color w:val="FFFFFF" w:themeColor="background1"/>
              </w:rPr>
              <w:t>Document Control Information</w:t>
            </w:r>
          </w:p>
        </w:tc>
        <w:tc>
          <w:tcPr>
            <w:tcW w:w="4677" w:type="dxa"/>
          </w:tcPr>
          <w:p w14:paraId="54335B4C" w14:textId="6DF20A41" w:rsidR="00632E13" w:rsidRPr="00632E13" w:rsidRDefault="00632E13" w:rsidP="00AE3E3F">
            <w:pPr>
              <w:spacing w:before="0" w:after="0"/>
              <w:ind w:left="0"/>
              <w:rPr>
                <w:b/>
                <w:bCs/>
              </w:rPr>
            </w:pPr>
            <w:r w:rsidRPr="00632E13">
              <w:rPr>
                <w:b/>
                <w:bCs/>
              </w:rPr>
              <w:t>Details</w:t>
            </w:r>
          </w:p>
        </w:tc>
      </w:tr>
      <w:tr w:rsidR="00AE3E3F" w:rsidRPr="00777E05" w14:paraId="03A27EFC" w14:textId="77777777" w:rsidTr="00AE3E3F">
        <w:tc>
          <w:tcPr>
            <w:tcW w:w="4395" w:type="dxa"/>
            <w:shd w:val="clear" w:color="auto" w:fill="003087" w:themeFill="accent1"/>
          </w:tcPr>
          <w:p w14:paraId="3F7F60E6" w14:textId="77777777" w:rsidR="00AE3E3F" w:rsidRPr="00777E05" w:rsidRDefault="00AE3E3F" w:rsidP="00AE3E3F">
            <w:pPr>
              <w:spacing w:before="0" w:after="0"/>
              <w:ind w:left="0"/>
              <w:rPr>
                <w:color w:val="FFFFFF" w:themeColor="background1"/>
              </w:rPr>
            </w:pPr>
            <w:r w:rsidRPr="00777E05">
              <w:rPr>
                <w:color w:val="FFFFFF" w:themeColor="background1"/>
              </w:rPr>
              <w:t>Policy Name</w:t>
            </w:r>
          </w:p>
        </w:tc>
        <w:tc>
          <w:tcPr>
            <w:tcW w:w="4677" w:type="dxa"/>
          </w:tcPr>
          <w:p w14:paraId="14B5203D" w14:textId="2B2BFFFE" w:rsidR="00AE3E3F" w:rsidRPr="00777E05" w:rsidRDefault="00AE3E3F" w:rsidP="00AE3E3F">
            <w:pPr>
              <w:spacing w:before="0" w:after="0"/>
              <w:ind w:left="0"/>
            </w:pPr>
            <w:r>
              <w:t>All Age Continuing Care (AACC) Operational Policy</w:t>
            </w:r>
          </w:p>
        </w:tc>
      </w:tr>
      <w:tr w:rsidR="00AE3E3F" w:rsidRPr="00777E05" w14:paraId="58609DA7" w14:textId="77777777" w:rsidTr="00AE3E3F">
        <w:tc>
          <w:tcPr>
            <w:tcW w:w="4395" w:type="dxa"/>
            <w:shd w:val="clear" w:color="auto" w:fill="003087" w:themeFill="accent1"/>
          </w:tcPr>
          <w:p w14:paraId="0BEE2D37" w14:textId="77777777" w:rsidR="00AE3E3F" w:rsidRPr="00777E05" w:rsidRDefault="00AE3E3F" w:rsidP="00AE3E3F">
            <w:pPr>
              <w:spacing w:before="0" w:after="0"/>
              <w:ind w:left="0"/>
              <w:rPr>
                <w:color w:val="FFFFFF" w:themeColor="background1"/>
              </w:rPr>
            </w:pPr>
            <w:r w:rsidRPr="00777E05">
              <w:rPr>
                <w:color w:val="FFFFFF" w:themeColor="background1"/>
              </w:rPr>
              <w:t>Policy Number</w:t>
            </w:r>
          </w:p>
        </w:tc>
        <w:tc>
          <w:tcPr>
            <w:tcW w:w="4677" w:type="dxa"/>
          </w:tcPr>
          <w:p w14:paraId="4B495C24" w14:textId="7D8AE220" w:rsidR="00AE3E3F" w:rsidRPr="00777E05" w:rsidRDefault="00820CF1" w:rsidP="00AE3E3F">
            <w:pPr>
              <w:spacing w:before="0" w:after="0"/>
              <w:ind w:left="0"/>
            </w:pPr>
            <w:r>
              <w:t>MSEICB</w:t>
            </w:r>
            <w:r w:rsidR="004840B7">
              <w:t xml:space="preserve"> </w:t>
            </w:r>
            <w:r>
              <w:t>068</w:t>
            </w:r>
          </w:p>
        </w:tc>
      </w:tr>
      <w:tr w:rsidR="00AE3E3F" w:rsidRPr="00777E05" w14:paraId="3185B64D" w14:textId="77777777" w:rsidTr="00AE3E3F">
        <w:tc>
          <w:tcPr>
            <w:tcW w:w="4395" w:type="dxa"/>
            <w:shd w:val="clear" w:color="auto" w:fill="003087" w:themeFill="accent1"/>
          </w:tcPr>
          <w:p w14:paraId="0D8D01F0" w14:textId="77777777" w:rsidR="00AE3E3F" w:rsidRPr="00777E05" w:rsidRDefault="00AE3E3F" w:rsidP="00AE3E3F">
            <w:pPr>
              <w:spacing w:before="0" w:after="0"/>
              <w:ind w:left="0"/>
              <w:rPr>
                <w:color w:val="FFFFFF" w:themeColor="background1"/>
              </w:rPr>
            </w:pPr>
            <w:r w:rsidRPr="00777E05">
              <w:rPr>
                <w:color w:val="FFFFFF" w:themeColor="background1"/>
              </w:rPr>
              <w:t>Version</w:t>
            </w:r>
          </w:p>
        </w:tc>
        <w:tc>
          <w:tcPr>
            <w:tcW w:w="4677" w:type="dxa"/>
          </w:tcPr>
          <w:p w14:paraId="759007BC" w14:textId="1D16CC26" w:rsidR="00AE3E3F" w:rsidRPr="003E058C" w:rsidRDefault="00480B93" w:rsidP="00AE3E3F">
            <w:pPr>
              <w:spacing w:before="0" w:after="0"/>
              <w:ind w:left="0"/>
            </w:pPr>
            <w:r>
              <w:t>1</w:t>
            </w:r>
            <w:r w:rsidR="00AE3E3F" w:rsidRPr="003E058C">
              <w:t>.</w:t>
            </w:r>
            <w:r>
              <w:t>0</w:t>
            </w:r>
            <w:r w:rsidR="00B9694F" w:rsidRPr="003E058C">
              <w:t xml:space="preserve"> </w:t>
            </w:r>
          </w:p>
        </w:tc>
      </w:tr>
      <w:tr w:rsidR="00AE3E3F" w:rsidRPr="00777E05" w14:paraId="3D2737E6" w14:textId="77777777" w:rsidTr="00AE3E3F">
        <w:tc>
          <w:tcPr>
            <w:tcW w:w="4395" w:type="dxa"/>
            <w:shd w:val="clear" w:color="auto" w:fill="003087" w:themeFill="accent1"/>
          </w:tcPr>
          <w:p w14:paraId="71AF7D50" w14:textId="77777777" w:rsidR="00AE3E3F" w:rsidRPr="00777E05" w:rsidRDefault="00AE3E3F" w:rsidP="00AE3E3F">
            <w:pPr>
              <w:spacing w:before="0" w:after="0"/>
              <w:ind w:left="0"/>
              <w:rPr>
                <w:color w:val="FFFFFF" w:themeColor="background1"/>
              </w:rPr>
            </w:pPr>
            <w:r w:rsidRPr="00777E05">
              <w:rPr>
                <w:color w:val="FFFFFF" w:themeColor="background1"/>
              </w:rPr>
              <w:t>Status</w:t>
            </w:r>
          </w:p>
        </w:tc>
        <w:tc>
          <w:tcPr>
            <w:tcW w:w="4677" w:type="dxa"/>
          </w:tcPr>
          <w:p w14:paraId="746761FE" w14:textId="1B8E7E60" w:rsidR="00AE3E3F" w:rsidRPr="003E058C" w:rsidRDefault="004840B7" w:rsidP="00AE3E3F">
            <w:pPr>
              <w:spacing w:before="0" w:after="0"/>
              <w:ind w:left="0"/>
            </w:pPr>
            <w:r>
              <w:t>Final</w:t>
            </w:r>
            <w:r w:rsidR="003E058C" w:rsidRPr="003E058C">
              <w:t xml:space="preserve"> ICB</w:t>
            </w:r>
            <w:r>
              <w:t xml:space="preserve"> Policy</w:t>
            </w:r>
            <w:r w:rsidR="003E058C" w:rsidRPr="003E058C">
              <w:t xml:space="preserve"> </w:t>
            </w:r>
          </w:p>
        </w:tc>
      </w:tr>
      <w:tr w:rsidR="00AE3E3F" w:rsidRPr="00777E05" w14:paraId="08733E7B" w14:textId="77777777" w:rsidTr="00AE3E3F">
        <w:tc>
          <w:tcPr>
            <w:tcW w:w="4395" w:type="dxa"/>
            <w:shd w:val="clear" w:color="auto" w:fill="003087" w:themeFill="accent1"/>
          </w:tcPr>
          <w:p w14:paraId="24983851" w14:textId="77777777" w:rsidR="00AE3E3F" w:rsidRPr="00777E05" w:rsidRDefault="00AE3E3F" w:rsidP="00AE3E3F">
            <w:pPr>
              <w:spacing w:before="0" w:after="0"/>
              <w:ind w:left="0"/>
              <w:rPr>
                <w:color w:val="FFFFFF" w:themeColor="background1"/>
              </w:rPr>
            </w:pPr>
            <w:r w:rsidRPr="00777E05">
              <w:rPr>
                <w:color w:val="FFFFFF" w:themeColor="background1"/>
              </w:rPr>
              <w:t>Author / Lead</w:t>
            </w:r>
          </w:p>
        </w:tc>
        <w:tc>
          <w:tcPr>
            <w:tcW w:w="4677" w:type="dxa"/>
          </w:tcPr>
          <w:p w14:paraId="7EB53305" w14:textId="2F671F7D" w:rsidR="00AE3E3F" w:rsidRPr="00777E05" w:rsidRDefault="004840B7" w:rsidP="00AE3E3F">
            <w:pPr>
              <w:spacing w:before="0" w:after="0"/>
              <w:ind w:left="0"/>
            </w:pPr>
            <w:r>
              <w:t>Deputy Director of AACC</w:t>
            </w:r>
          </w:p>
        </w:tc>
      </w:tr>
      <w:tr w:rsidR="00AE3E3F" w:rsidRPr="00777E05" w14:paraId="4B533979" w14:textId="77777777" w:rsidTr="00AE3E3F">
        <w:tc>
          <w:tcPr>
            <w:tcW w:w="4395" w:type="dxa"/>
            <w:shd w:val="clear" w:color="auto" w:fill="003087" w:themeFill="accent1"/>
          </w:tcPr>
          <w:p w14:paraId="4830AB4E" w14:textId="77777777" w:rsidR="00AE3E3F" w:rsidRPr="00777E05" w:rsidRDefault="00AE3E3F" w:rsidP="00AE3E3F">
            <w:pPr>
              <w:spacing w:before="0" w:after="0"/>
              <w:ind w:left="0"/>
              <w:rPr>
                <w:color w:val="FFFFFF" w:themeColor="background1"/>
              </w:rPr>
            </w:pPr>
            <w:r w:rsidRPr="00777E05">
              <w:rPr>
                <w:color w:val="FFFFFF" w:themeColor="background1"/>
              </w:rPr>
              <w:t>Responsible Executive Director</w:t>
            </w:r>
          </w:p>
        </w:tc>
        <w:tc>
          <w:tcPr>
            <w:tcW w:w="4677" w:type="dxa"/>
          </w:tcPr>
          <w:p w14:paraId="0E28B923" w14:textId="6C493E9A" w:rsidR="00AE3E3F" w:rsidRPr="00777E05" w:rsidRDefault="000E4DAE" w:rsidP="00AE3E3F">
            <w:pPr>
              <w:spacing w:before="0" w:after="0"/>
              <w:ind w:left="0"/>
            </w:pPr>
            <w:r>
              <w:t>Chief Nurse</w:t>
            </w:r>
          </w:p>
        </w:tc>
      </w:tr>
      <w:tr w:rsidR="00AE3E3F" w:rsidRPr="00777E05" w14:paraId="038AB909" w14:textId="77777777" w:rsidTr="00AE3E3F">
        <w:tc>
          <w:tcPr>
            <w:tcW w:w="4395" w:type="dxa"/>
            <w:shd w:val="clear" w:color="auto" w:fill="003087" w:themeFill="accent1"/>
          </w:tcPr>
          <w:p w14:paraId="52D0B4EB" w14:textId="77777777" w:rsidR="00AE3E3F" w:rsidRPr="00777E05" w:rsidRDefault="00AE3E3F" w:rsidP="00AE3E3F">
            <w:pPr>
              <w:spacing w:before="0" w:after="0"/>
              <w:ind w:left="0"/>
              <w:rPr>
                <w:color w:val="FFFFFF" w:themeColor="background1"/>
              </w:rPr>
            </w:pPr>
            <w:r w:rsidRPr="00777E05">
              <w:rPr>
                <w:color w:val="FFFFFF" w:themeColor="background1"/>
              </w:rPr>
              <w:t>Responsible Committee</w:t>
            </w:r>
          </w:p>
        </w:tc>
        <w:tc>
          <w:tcPr>
            <w:tcW w:w="4677" w:type="dxa"/>
          </w:tcPr>
          <w:p w14:paraId="2BB96CAB" w14:textId="6BA6A0A4" w:rsidR="00AE3E3F" w:rsidRPr="00777E05" w:rsidRDefault="00AE3E3F" w:rsidP="00AE3E3F">
            <w:pPr>
              <w:spacing w:before="0" w:after="0"/>
              <w:ind w:left="0"/>
              <w:rPr>
                <w:color w:val="auto"/>
              </w:rPr>
            </w:pPr>
            <w:r>
              <w:rPr>
                <w:color w:val="auto"/>
              </w:rPr>
              <w:t xml:space="preserve">Quality </w:t>
            </w:r>
            <w:r w:rsidR="004840B7">
              <w:rPr>
                <w:color w:val="auto"/>
              </w:rPr>
              <w:t>Committee</w:t>
            </w:r>
          </w:p>
        </w:tc>
      </w:tr>
      <w:tr w:rsidR="00AE3E3F" w:rsidRPr="00777E05" w14:paraId="4F05D1DE" w14:textId="77777777" w:rsidTr="00AE3E3F">
        <w:tc>
          <w:tcPr>
            <w:tcW w:w="4395" w:type="dxa"/>
            <w:shd w:val="clear" w:color="auto" w:fill="003087" w:themeFill="accent1"/>
          </w:tcPr>
          <w:p w14:paraId="7BE94ABC" w14:textId="77777777" w:rsidR="00AE3E3F" w:rsidRPr="00777E05" w:rsidRDefault="00AE3E3F" w:rsidP="00AE3E3F">
            <w:pPr>
              <w:spacing w:before="0" w:after="0"/>
              <w:ind w:left="0"/>
              <w:rPr>
                <w:color w:val="FFFFFF" w:themeColor="background1"/>
              </w:rPr>
            </w:pPr>
            <w:r w:rsidRPr="00777E05">
              <w:rPr>
                <w:color w:val="FFFFFF" w:themeColor="background1"/>
              </w:rPr>
              <w:t>Date Ratified by Responsible Committee</w:t>
            </w:r>
          </w:p>
        </w:tc>
        <w:tc>
          <w:tcPr>
            <w:tcW w:w="4677" w:type="dxa"/>
          </w:tcPr>
          <w:p w14:paraId="3FE4FE8A" w14:textId="73608AF4" w:rsidR="00AE3E3F" w:rsidRPr="003E058C" w:rsidRDefault="003E058C" w:rsidP="00AE3E3F">
            <w:pPr>
              <w:spacing w:before="0" w:after="0"/>
              <w:ind w:left="0"/>
              <w:rPr>
                <w:color w:val="auto"/>
              </w:rPr>
            </w:pPr>
            <w:r w:rsidRPr="003E058C">
              <w:rPr>
                <w:color w:val="auto"/>
              </w:rPr>
              <w:t xml:space="preserve">10 May 2022 </w:t>
            </w:r>
          </w:p>
        </w:tc>
      </w:tr>
      <w:tr w:rsidR="00AE3E3F" w:rsidRPr="00777E05" w14:paraId="05F01403" w14:textId="77777777" w:rsidTr="00AE3E3F">
        <w:tc>
          <w:tcPr>
            <w:tcW w:w="4395" w:type="dxa"/>
            <w:shd w:val="clear" w:color="auto" w:fill="003087" w:themeFill="accent1"/>
          </w:tcPr>
          <w:p w14:paraId="2D511468" w14:textId="77777777" w:rsidR="00AE3E3F" w:rsidRPr="00777E05" w:rsidRDefault="00AE3E3F" w:rsidP="00AE3E3F">
            <w:pPr>
              <w:spacing w:before="0" w:after="0"/>
              <w:ind w:left="0"/>
              <w:rPr>
                <w:color w:val="FFFFFF" w:themeColor="background1"/>
              </w:rPr>
            </w:pPr>
            <w:r w:rsidRPr="00777E05">
              <w:rPr>
                <w:color w:val="FFFFFF" w:themeColor="background1"/>
              </w:rPr>
              <w:t>Date Approved by Board/Effective Date</w:t>
            </w:r>
          </w:p>
        </w:tc>
        <w:tc>
          <w:tcPr>
            <w:tcW w:w="4677" w:type="dxa"/>
          </w:tcPr>
          <w:p w14:paraId="1A889CB2" w14:textId="0F45CC76" w:rsidR="00AE3E3F" w:rsidRPr="00777E05" w:rsidRDefault="00820CF1" w:rsidP="00AE3E3F">
            <w:pPr>
              <w:spacing w:before="0" w:after="0"/>
              <w:ind w:left="0"/>
              <w:rPr>
                <w:color w:val="auto"/>
                <w:highlight w:val="yellow"/>
              </w:rPr>
            </w:pPr>
            <w:r w:rsidRPr="00820CF1">
              <w:rPr>
                <w:color w:val="auto"/>
              </w:rPr>
              <w:t>1 July 2022</w:t>
            </w:r>
          </w:p>
        </w:tc>
      </w:tr>
      <w:tr w:rsidR="00AE3E3F" w:rsidRPr="00777E05" w14:paraId="09527D99" w14:textId="77777777" w:rsidTr="00AE3E3F">
        <w:tc>
          <w:tcPr>
            <w:tcW w:w="4395" w:type="dxa"/>
            <w:shd w:val="clear" w:color="auto" w:fill="003087" w:themeFill="accent1"/>
          </w:tcPr>
          <w:p w14:paraId="663C652B" w14:textId="77777777" w:rsidR="00AE3E3F" w:rsidRPr="00777E05" w:rsidRDefault="00AE3E3F" w:rsidP="00AE3E3F">
            <w:pPr>
              <w:spacing w:before="0" w:after="0"/>
              <w:ind w:left="0"/>
              <w:rPr>
                <w:color w:val="FFFFFF" w:themeColor="background1"/>
              </w:rPr>
            </w:pPr>
            <w:r w:rsidRPr="00777E05">
              <w:rPr>
                <w:color w:val="FFFFFF" w:themeColor="background1"/>
              </w:rPr>
              <w:t>Next Review Date</w:t>
            </w:r>
          </w:p>
        </w:tc>
        <w:tc>
          <w:tcPr>
            <w:tcW w:w="4677" w:type="dxa"/>
          </w:tcPr>
          <w:p w14:paraId="360217A9" w14:textId="7CF5D21F" w:rsidR="00AE3E3F" w:rsidRPr="00777E05" w:rsidRDefault="004840B7" w:rsidP="00AE3E3F">
            <w:pPr>
              <w:spacing w:before="0" w:after="0"/>
              <w:ind w:left="0"/>
              <w:rPr>
                <w:color w:val="auto"/>
              </w:rPr>
            </w:pPr>
            <w:r>
              <w:rPr>
                <w:color w:val="auto"/>
              </w:rPr>
              <w:t>1 July 2024</w:t>
            </w:r>
          </w:p>
        </w:tc>
      </w:tr>
      <w:tr w:rsidR="00AE3E3F" w:rsidRPr="00777E05" w14:paraId="445847FB" w14:textId="77777777" w:rsidTr="00AE3E3F">
        <w:tc>
          <w:tcPr>
            <w:tcW w:w="4395" w:type="dxa"/>
            <w:shd w:val="clear" w:color="auto" w:fill="003087" w:themeFill="accent1"/>
          </w:tcPr>
          <w:p w14:paraId="3CA909D5" w14:textId="77777777" w:rsidR="00AE3E3F" w:rsidRPr="00777E05" w:rsidRDefault="00AE3E3F" w:rsidP="00AE3E3F">
            <w:pPr>
              <w:spacing w:before="0" w:after="0"/>
              <w:ind w:left="0"/>
              <w:rPr>
                <w:color w:val="FFFFFF" w:themeColor="background1"/>
              </w:rPr>
            </w:pPr>
            <w:r w:rsidRPr="00777E05">
              <w:rPr>
                <w:color w:val="FFFFFF" w:themeColor="background1"/>
              </w:rPr>
              <w:t>Target Audience</w:t>
            </w:r>
          </w:p>
        </w:tc>
        <w:tc>
          <w:tcPr>
            <w:tcW w:w="4677" w:type="dxa"/>
          </w:tcPr>
          <w:p w14:paraId="3BEB1382" w14:textId="26DA68F8" w:rsidR="00AE3E3F" w:rsidRPr="00777E05" w:rsidRDefault="00AE3E3F" w:rsidP="00AE3E3F">
            <w:pPr>
              <w:pStyle w:val="Heading1"/>
              <w:rPr>
                <w:color w:val="auto"/>
              </w:rPr>
            </w:pPr>
            <w:r w:rsidRPr="00BE6159">
              <w:rPr>
                <w:b w:val="0"/>
                <w:bCs/>
                <w:sz w:val="24"/>
                <w:szCs w:val="24"/>
              </w:rPr>
              <w:t>All staff</w:t>
            </w:r>
            <w:r w:rsidRPr="00BE6159">
              <w:rPr>
                <w:sz w:val="24"/>
                <w:szCs w:val="24"/>
              </w:rPr>
              <w:t xml:space="preserve"> </w:t>
            </w:r>
            <w:r w:rsidRPr="00BE6159">
              <w:rPr>
                <w:b w:val="0"/>
                <w:bCs/>
                <w:sz w:val="24"/>
                <w:szCs w:val="24"/>
              </w:rPr>
              <w:t>working in NHS Continuing Healthcare (CHC) and Children and Young People’s Continuing Care (CYPCC</w:t>
            </w:r>
            <w:r>
              <w:rPr>
                <w:b w:val="0"/>
                <w:bCs/>
                <w:sz w:val="24"/>
                <w:szCs w:val="24"/>
              </w:rPr>
              <w:t xml:space="preserve">). </w:t>
            </w:r>
          </w:p>
        </w:tc>
      </w:tr>
      <w:tr w:rsidR="00AE3E3F" w:rsidRPr="00777E05" w14:paraId="753C802B" w14:textId="77777777" w:rsidTr="00AE3E3F">
        <w:tc>
          <w:tcPr>
            <w:tcW w:w="4395" w:type="dxa"/>
            <w:shd w:val="clear" w:color="auto" w:fill="003087" w:themeFill="accent1"/>
          </w:tcPr>
          <w:p w14:paraId="09CE354A" w14:textId="77777777" w:rsidR="00AE3E3F" w:rsidRPr="00777E05" w:rsidRDefault="00AE3E3F" w:rsidP="00AE3E3F">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2C3F9CB2" w14:textId="24A98D55" w:rsidR="00AE3E3F" w:rsidRDefault="00AE3E3F" w:rsidP="00AD335F">
            <w:pPr>
              <w:pStyle w:val="ListParagraph"/>
              <w:numPr>
                <w:ilvl w:val="0"/>
                <w:numId w:val="12"/>
              </w:numPr>
              <w:ind w:left="320" w:hanging="284"/>
            </w:pPr>
            <w:r>
              <w:t>CHC Team leads, Mid &amp; South Essex</w:t>
            </w:r>
            <w:r w:rsidR="005E26BF">
              <w:t>.</w:t>
            </w:r>
          </w:p>
          <w:p w14:paraId="1F6B185B" w14:textId="179FB80B" w:rsidR="00AE3E3F" w:rsidRDefault="00AE3E3F" w:rsidP="00AD335F">
            <w:pPr>
              <w:pStyle w:val="ListParagraph"/>
              <w:numPr>
                <w:ilvl w:val="0"/>
                <w:numId w:val="12"/>
              </w:numPr>
              <w:ind w:left="320" w:hanging="284"/>
            </w:pPr>
            <w:r>
              <w:t xml:space="preserve">CYPCC Team, </w:t>
            </w:r>
            <w:r w:rsidR="00233CEB">
              <w:t xml:space="preserve">All </w:t>
            </w:r>
            <w:r>
              <w:t>Essex</w:t>
            </w:r>
            <w:r w:rsidR="005E26BF">
              <w:t>.</w:t>
            </w:r>
          </w:p>
          <w:p w14:paraId="0C6925A9" w14:textId="65644061" w:rsidR="001B40BE" w:rsidRPr="00820CF1" w:rsidRDefault="001B40BE" w:rsidP="00AD335F">
            <w:pPr>
              <w:pStyle w:val="ListParagraph"/>
              <w:numPr>
                <w:ilvl w:val="0"/>
                <w:numId w:val="12"/>
              </w:numPr>
              <w:ind w:left="320" w:hanging="284"/>
              <w:rPr>
                <w:color w:val="auto"/>
              </w:rPr>
            </w:pPr>
            <w:r w:rsidRPr="00820CF1">
              <w:rPr>
                <w:color w:val="auto"/>
              </w:rPr>
              <w:t>NHS England Regional CHC Lead</w:t>
            </w:r>
            <w:r w:rsidR="005E26BF">
              <w:rPr>
                <w:color w:val="auto"/>
              </w:rPr>
              <w:t>.</w:t>
            </w:r>
          </w:p>
          <w:p w14:paraId="6A921DAB" w14:textId="5206C6E4" w:rsidR="00AE3E3F" w:rsidRPr="00820CF1" w:rsidRDefault="00AE3E3F" w:rsidP="00AD335F">
            <w:pPr>
              <w:pStyle w:val="ListParagraph"/>
              <w:numPr>
                <w:ilvl w:val="0"/>
                <w:numId w:val="12"/>
              </w:numPr>
              <w:ind w:left="320" w:hanging="284"/>
              <w:rPr>
                <w:color w:val="auto"/>
              </w:rPr>
            </w:pPr>
            <w:r w:rsidRPr="00820CF1">
              <w:rPr>
                <w:color w:val="auto"/>
              </w:rPr>
              <w:t xml:space="preserve">CHC leads, North East Essex </w:t>
            </w:r>
            <w:r w:rsidR="00642116" w:rsidRPr="00820CF1">
              <w:rPr>
                <w:color w:val="auto"/>
              </w:rPr>
              <w:t>CCG,</w:t>
            </w:r>
            <w:r w:rsidRPr="00820CF1">
              <w:rPr>
                <w:color w:val="auto"/>
              </w:rPr>
              <w:t xml:space="preserve"> West Essex CCG</w:t>
            </w:r>
            <w:r w:rsidR="005E26BF">
              <w:rPr>
                <w:color w:val="auto"/>
              </w:rPr>
              <w:t>.</w:t>
            </w:r>
          </w:p>
          <w:p w14:paraId="02891552" w14:textId="69090A1E" w:rsidR="00AE3E3F" w:rsidRPr="00820CF1" w:rsidRDefault="007C13E6" w:rsidP="00AD335F">
            <w:pPr>
              <w:pStyle w:val="ListParagraph"/>
              <w:numPr>
                <w:ilvl w:val="0"/>
                <w:numId w:val="12"/>
              </w:numPr>
              <w:ind w:left="320" w:hanging="284"/>
              <w:rPr>
                <w:color w:val="auto"/>
              </w:rPr>
            </w:pPr>
            <w:r w:rsidRPr="00820CF1">
              <w:rPr>
                <w:color w:val="auto"/>
              </w:rPr>
              <w:t xml:space="preserve">Care Sector </w:t>
            </w:r>
            <w:r w:rsidR="00AE3E3F" w:rsidRPr="00820CF1">
              <w:rPr>
                <w:color w:val="auto"/>
              </w:rPr>
              <w:t xml:space="preserve">Quality </w:t>
            </w:r>
            <w:r w:rsidRPr="00820CF1">
              <w:rPr>
                <w:color w:val="auto"/>
              </w:rPr>
              <w:t>L</w:t>
            </w:r>
            <w:r w:rsidR="00AE3E3F" w:rsidRPr="00820CF1">
              <w:rPr>
                <w:color w:val="auto"/>
              </w:rPr>
              <w:t>ead, Mid &amp; South Essex</w:t>
            </w:r>
            <w:r w:rsidR="005E26BF">
              <w:rPr>
                <w:color w:val="auto"/>
              </w:rPr>
              <w:t>.</w:t>
            </w:r>
          </w:p>
          <w:p w14:paraId="6003A95A" w14:textId="77777777" w:rsidR="00AE3E3F" w:rsidRPr="00820CF1" w:rsidRDefault="00AE3E3F" w:rsidP="00AD335F">
            <w:pPr>
              <w:pStyle w:val="ListParagraph"/>
              <w:numPr>
                <w:ilvl w:val="0"/>
                <w:numId w:val="12"/>
              </w:numPr>
              <w:ind w:left="320" w:hanging="284"/>
              <w:rPr>
                <w:color w:val="auto"/>
              </w:rPr>
            </w:pPr>
            <w:r w:rsidRPr="00820CF1">
              <w:rPr>
                <w:color w:val="auto"/>
              </w:rPr>
              <w:t>Local Authority colleagues with touchpoints with NHS AACC:</w:t>
            </w:r>
          </w:p>
          <w:p w14:paraId="0784D53E" w14:textId="1AD61351" w:rsidR="00AE3E3F" w:rsidRPr="00820CF1" w:rsidRDefault="00AE3E3F" w:rsidP="00AD335F">
            <w:pPr>
              <w:pStyle w:val="ListParagraph"/>
              <w:numPr>
                <w:ilvl w:val="1"/>
                <w:numId w:val="12"/>
              </w:numPr>
              <w:ind w:left="1454" w:hanging="425"/>
              <w:rPr>
                <w:color w:val="auto"/>
              </w:rPr>
            </w:pPr>
            <w:r w:rsidRPr="00820CF1">
              <w:rPr>
                <w:color w:val="auto"/>
              </w:rPr>
              <w:t>Essex County Council</w:t>
            </w:r>
            <w:r w:rsidR="005E26BF">
              <w:rPr>
                <w:color w:val="auto"/>
              </w:rPr>
              <w:t>.</w:t>
            </w:r>
          </w:p>
          <w:p w14:paraId="0DF55317" w14:textId="21AFCBEA" w:rsidR="00AE3E3F" w:rsidRPr="00820CF1" w:rsidRDefault="00AE3E3F" w:rsidP="00AD335F">
            <w:pPr>
              <w:pStyle w:val="ListParagraph"/>
              <w:numPr>
                <w:ilvl w:val="1"/>
                <w:numId w:val="12"/>
              </w:numPr>
              <w:ind w:left="1454" w:hanging="425"/>
              <w:rPr>
                <w:color w:val="auto"/>
              </w:rPr>
            </w:pPr>
            <w:r w:rsidRPr="00820CF1">
              <w:rPr>
                <w:color w:val="auto"/>
              </w:rPr>
              <w:t>Southend Borough Council</w:t>
            </w:r>
            <w:r w:rsidR="005E26BF">
              <w:rPr>
                <w:color w:val="auto"/>
              </w:rPr>
              <w:t>.</w:t>
            </w:r>
          </w:p>
          <w:p w14:paraId="46DF07D6" w14:textId="06139B4B" w:rsidR="00AE3E3F" w:rsidRPr="00777E05" w:rsidRDefault="00AE3E3F" w:rsidP="00AD335F">
            <w:pPr>
              <w:pStyle w:val="ListParagraph"/>
              <w:numPr>
                <w:ilvl w:val="1"/>
                <w:numId w:val="12"/>
              </w:numPr>
              <w:ind w:left="1454" w:hanging="425"/>
            </w:pPr>
            <w:r w:rsidRPr="00820CF1">
              <w:rPr>
                <w:color w:val="auto"/>
              </w:rPr>
              <w:t>Thurrock Council</w:t>
            </w:r>
            <w:r w:rsidR="005E26BF">
              <w:rPr>
                <w:color w:val="auto"/>
              </w:rPr>
              <w:t>.</w:t>
            </w:r>
          </w:p>
        </w:tc>
      </w:tr>
      <w:tr w:rsidR="00AE3E3F" w:rsidRPr="00777E05" w14:paraId="60A0DEAC" w14:textId="77777777" w:rsidTr="00AE3E3F">
        <w:tc>
          <w:tcPr>
            <w:tcW w:w="4395" w:type="dxa"/>
            <w:shd w:val="clear" w:color="auto" w:fill="003087" w:themeFill="accent1"/>
          </w:tcPr>
          <w:p w14:paraId="2D0DF340" w14:textId="77777777" w:rsidR="00AE3E3F" w:rsidRPr="00C43154" w:rsidRDefault="00AE3E3F" w:rsidP="00AE3E3F">
            <w:pPr>
              <w:spacing w:before="0" w:after="0"/>
              <w:ind w:left="0"/>
              <w:rPr>
                <w:color w:val="FFFFFF" w:themeColor="background1"/>
              </w:rPr>
            </w:pPr>
            <w:r w:rsidRPr="00C43154">
              <w:rPr>
                <w:color w:val="FFFFFF" w:themeColor="background1"/>
              </w:rPr>
              <w:t xml:space="preserve">Impact Assessments Undertaken </w:t>
            </w:r>
          </w:p>
          <w:p w14:paraId="0B399B05" w14:textId="77777777" w:rsidR="00AE3E3F" w:rsidRPr="00C43154" w:rsidRDefault="00AE3E3F" w:rsidP="00AE3E3F">
            <w:pPr>
              <w:spacing w:before="0" w:after="0"/>
              <w:ind w:left="0"/>
              <w:rPr>
                <w:i/>
                <w:iCs/>
                <w:color w:val="FFFFFF" w:themeColor="background1"/>
              </w:rPr>
            </w:pPr>
            <w:r w:rsidRPr="00C43154">
              <w:rPr>
                <w:i/>
                <w:iCs/>
                <w:color w:val="FFFFFF" w:themeColor="background1"/>
              </w:rPr>
              <w:t>(Delete if non-applicable)</w:t>
            </w:r>
          </w:p>
        </w:tc>
        <w:tc>
          <w:tcPr>
            <w:tcW w:w="4677" w:type="dxa"/>
          </w:tcPr>
          <w:p w14:paraId="2E1E6F4E" w14:textId="6573A0B0" w:rsidR="00AE3E3F" w:rsidRPr="00C43154" w:rsidRDefault="00AE3E3F" w:rsidP="003667B7">
            <w:pPr>
              <w:numPr>
                <w:ilvl w:val="0"/>
                <w:numId w:val="19"/>
              </w:numPr>
              <w:spacing w:before="0" w:after="0"/>
              <w:ind w:left="345" w:hanging="284"/>
              <w:contextualSpacing/>
              <w:rPr>
                <w:rFonts w:cstheme="minorHAnsi"/>
                <w:b/>
                <w:bCs/>
              </w:rPr>
            </w:pPr>
            <w:r w:rsidRPr="00C43154">
              <w:rPr>
                <w:rFonts w:cs="Times New Roman (Body CS)"/>
              </w:rPr>
              <w:t>Equality and Health Inequalities Impact Assessment</w:t>
            </w:r>
            <w:r w:rsidR="005E26BF">
              <w:rPr>
                <w:rFonts w:cs="Times New Roman (Body CS)"/>
              </w:rPr>
              <w:t>.</w:t>
            </w:r>
          </w:p>
        </w:tc>
      </w:tr>
    </w:tbl>
    <w:p w14:paraId="3CEDC39D" w14:textId="20698762" w:rsidR="00AE3E3F" w:rsidRDefault="00AE3E3F" w:rsidP="00E91A92">
      <w:pPr>
        <w:ind w:left="0"/>
      </w:pPr>
    </w:p>
    <w:p w14:paraId="0B7B915F" w14:textId="6EC199F3" w:rsidR="00AE3E3F" w:rsidRDefault="00AE3E3F" w:rsidP="00E91A92">
      <w:pPr>
        <w:ind w:left="0"/>
      </w:pPr>
    </w:p>
    <w:p w14:paraId="143BF4EB" w14:textId="77777777" w:rsidR="00B9694F" w:rsidRDefault="00B9694F" w:rsidP="000E4DAE">
      <w:pPr>
        <w:ind w:left="0"/>
        <w:jc w:val="center"/>
      </w:pPr>
    </w:p>
    <w:p w14:paraId="07CF77D4" w14:textId="77777777" w:rsidR="00AE3E3F" w:rsidRDefault="00AE3E3F" w:rsidP="00E91A92">
      <w:pPr>
        <w:ind w:left="0"/>
      </w:pPr>
    </w:p>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85"/>
        <w:gridCol w:w="1318"/>
        <w:gridCol w:w="2351"/>
        <w:gridCol w:w="4262"/>
      </w:tblGrid>
      <w:tr w:rsidR="00FB62AA" w14:paraId="4CEEE9FB" w14:textId="77777777" w:rsidTr="00632E13">
        <w:trPr>
          <w:trHeight w:val="489"/>
          <w:tblHeader/>
        </w:trPr>
        <w:tc>
          <w:tcPr>
            <w:tcW w:w="1090"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19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2388"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4343"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B62AA" w14:paraId="3D78C677" w14:textId="77777777" w:rsidTr="00B9694F">
        <w:trPr>
          <w:trHeight w:val="424"/>
        </w:trPr>
        <w:tc>
          <w:tcPr>
            <w:tcW w:w="1090" w:type="dxa"/>
            <w:vAlign w:val="center"/>
          </w:tcPr>
          <w:p w14:paraId="04931F40" w14:textId="31BB0735" w:rsidR="00E91A92" w:rsidRDefault="00E91A92" w:rsidP="00E91A92">
            <w:pPr>
              <w:pStyle w:val="NoSpacing"/>
            </w:pPr>
            <w:r>
              <w:t>0.1</w:t>
            </w:r>
          </w:p>
        </w:tc>
        <w:tc>
          <w:tcPr>
            <w:tcW w:w="1195" w:type="dxa"/>
            <w:vAlign w:val="center"/>
          </w:tcPr>
          <w:p w14:paraId="1B227E4B" w14:textId="6F103772" w:rsidR="00E91A92" w:rsidRDefault="00E91A92" w:rsidP="00E91A92">
            <w:pPr>
              <w:pStyle w:val="NoSpacing"/>
            </w:pPr>
            <w:r>
              <w:t>3/12/2021</w:t>
            </w:r>
          </w:p>
        </w:tc>
        <w:tc>
          <w:tcPr>
            <w:tcW w:w="2388" w:type="dxa"/>
            <w:vAlign w:val="center"/>
          </w:tcPr>
          <w:p w14:paraId="1553C4E3" w14:textId="5C2BFD49" w:rsidR="00E91A92" w:rsidRDefault="00E91A92" w:rsidP="00E91A92">
            <w:pPr>
              <w:pStyle w:val="NoSpacing"/>
            </w:pPr>
            <w:r>
              <w:t>Matt Gillam / Maria Whelan</w:t>
            </w:r>
          </w:p>
        </w:tc>
        <w:tc>
          <w:tcPr>
            <w:tcW w:w="4343" w:type="dxa"/>
            <w:vAlign w:val="center"/>
          </w:tcPr>
          <w:p w14:paraId="49B4F070" w14:textId="626726A5" w:rsidR="00E91A92" w:rsidRDefault="00FB62AA" w:rsidP="00E91A92">
            <w:pPr>
              <w:pStyle w:val="NoSpacing"/>
            </w:pPr>
            <w:r>
              <w:t xml:space="preserve">Review of former </w:t>
            </w:r>
            <w:r w:rsidR="00AE3E3F">
              <w:t xml:space="preserve">CCGs’ </w:t>
            </w:r>
            <w:r>
              <w:t>policy</w:t>
            </w:r>
          </w:p>
        </w:tc>
      </w:tr>
      <w:tr w:rsidR="00FB62AA" w14:paraId="5743EC0C" w14:textId="77777777" w:rsidTr="00B9694F">
        <w:trPr>
          <w:trHeight w:val="402"/>
        </w:trPr>
        <w:tc>
          <w:tcPr>
            <w:tcW w:w="1090" w:type="dxa"/>
            <w:vAlign w:val="center"/>
          </w:tcPr>
          <w:p w14:paraId="5D628B89" w14:textId="15A06703" w:rsidR="00E91A92" w:rsidRDefault="00E91A92" w:rsidP="00E91A92">
            <w:pPr>
              <w:pStyle w:val="NoSpacing"/>
            </w:pPr>
            <w:r>
              <w:t>0.2</w:t>
            </w:r>
          </w:p>
        </w:tc>
        <w:tc>
          <w:tcPr>
            <w:tcW w:w="1195" w:type="dxa"/>
            <w:vAlign w:val="center"/>
          </w:tcPr>
          <w:p w14:paraId="288FEB7A" w14:textId="5D1C2103" w:rsidR="00E91A92" w:rsidRDefault="00AE3E3F" w:rsidP="00E91A92">
            <w:pPr>
              <w:pStyle w:val="NoSpacing"/>
            </w:pPr>
            <w:r>
              <w:t>1</w:t>
            </w:r>
            <w:r w:rsidR="00E91A92">
              <w:t>7/</w:t>
            </w:r>
            <w:r w:rsidR="00CF1235">
              <w:t>2</w:t>
            </w:r>
            <w:r w:rsidR="00E91A92">
              <w:t>/2022</w:t>
            </w:r>
          </w:p>
        </w:tc>
        <w:tc>
          <w:tcPr>
            <w:tcW w:w="2388" w:type="dxa"/>
            <w:vAlign w:val="center"/>
          </w:tcPr>
          <w:p w14:paraId="34495F98" w14:textId="22F0B4B2" w:rsidR="00E91A92" w:rsidRDefault="00E91A92" w:rsidP="00E91A92">
            <w:pPr>
              <w:pStyle w:val="NoSpacing"/>
            </w:pPr>
            <w:r>
              <w:t>Alyson Taylor</w:t>
            </w:r>
          </w:p>
        </w:tc>
        <w:tc>
          <w:tcPr>
            <w:tcW w:w="4343" w:type="dxa"/>
            <w:vAlign w:val="center"/>
          </w:tcPr>
          <w:p w14:paraId="0750C8CA" w14:textId="233D0031" w:rsidR="00E91A92" w:rsidRDefault="00E91A92" w:rsidP="00E91A92">
            <w:pPr>
              <w:pStyle w:val="NoSpacing"/>
            </w:pPr>
            <w:r>
              <w:t xml:space="preserve">Move to ICS Policy </w:t>
            </w:r>
            <w:r w:rsidR="00642116">
              <w:t>template.</w:t>
            </w:r>
          </w:p>
          <w:p w14:paraId="6E65EB62" w14:textId="40E43EE0" w:rsidR="00E91A92" w:rsidRDefault="00FB62AA" w:rsidP="00E91A92">
            <w:pPr>
              <w:pStyle w:val="NoSpacing"/>
            </w:pPr>
            <w:r>
              <w:t>Include high level indicator statements from N</w:t>
            </w:r>
            <w:r w:rsidR="00E91A92">
              <w:t xml:space="preserve">HSE CHC Maturity </w:t>
            </w:r>
            <w:r w:rsidR="00642116">
              <w:t>Matrix.</w:t>
            </w:r>
            <w:r w:rsidR="00A50152">
              <w:t xml:space="preserve"> </w:t>
            </w:r>
          </w:p>
          <w:p w14:paraId="7DE50D80" w14:textId="73DC14F0" w:rsidR="00A50152" w:rsidRDefault="00AE3E3F" w:rsidP="00E91A92">
            <w:pPr>
              <w:pStyle w:val="NoSpacing"/>
            </w:pPr>
            <w:r>
              <w:t>Incorporate</w:t>
            </w:r>
            <w:r w:rsidR="00A50152">
              <w:t xml:space="preserve"> previously separate policies: Equity and Choice, </w:t>
            </w:r>
            <w:r w:rsidR="00F76C28">
              <w:t xml:space="preserve">Safe and Supportive </w:t>
            </w:r>
            <w:r w:rsidR="00A50152">
              <w:t>Observations, Cessation of Funding,</w:t>
            </w:r>
            <w:r w:rsidR="00B6660C">
              <w:t xml:space="preserve"> Appeals, Redress,</w:t>
            </w:r>
            <w:r w:rsidR="00A50152">
              <w:t xml:space="preserve"> Disputes</w:t>
            </w:r>
            <w:r w:rsidR="00677D27">
              <w:t>, CYPCC Operational Policy</w:t>
            </w:r>
            <w:r w:rsidR="00A50152">
              <w:t xml:space="preserve">.  </w:t>
            </w:r>
          </w:p>
        </w:tc>
      </w:tr>
      <w:tr w:rsidR="00FB62AA" w14:paraId="2385A697" w14:textId="77777777" w:rsidTr="00B9694F">
        <w:trPr>
          <w:trHeight w:val="423"/>
        </w:trPr>
        <w:tc>
          <w:tcPr>
            <w:tcW w:w="1090" w:type="dxa"/>
            <w:vAlign w:val="center"/>
          </w:tcPr>
          <w:p w14:paraId="63C36EA2" w14:textId="309896C5" w:rsidR="00E91A92" w:rsidRDefault="00655FE9" w:rsidP="00E91A92">
            <w:pPr>
              <w:pStyle w:val="NoSpacing"/>
            </w:pPr>
            <w:r>
              <w:t>0.3</w:t>
            </w:r>
          </w:p>
        </w:tc>
        <w:tc>
          <w:tcPr>
            <w:tcW w:w="1195" w:type="dxa"/>
            <w:vAlign w:val="center"/>
          </w:tcPr>
          <w:p w14:paraId="5B783ABB" w14:textId="3718EF18" w:rsidR="00E91A92" w:rsidRDefault="00655FE9" w:rsidP="00E91A92">
            <w:pPr>
              <w:pStyle w:val="NoSpacing"/>
            </w:pPr>
            <w:r>
              <w:t>25/2/2022</w:t>
            </w:r>
          </w:p>
        </w:tc>
        <w:tc>
          <w:tcPr>
            <w:tcW w:w="2388" w:type="dxa"/>
            <w:vAlign w:val="center"/>
          </w:tcPr>
          <w:p w14:paraId="2E71F7C5" w14:textId="33E73EEC" w:rsidR="00E91A92" w:rsidRDefault="00655FE9" w:rsidP="00E91A92">
            <w:pPr>
              <w:pStyle w:val="NoSpacing"/>
            </w:pPr>
            <w:r>
              <w:t>Viv Barker</w:t>
            </w:r>
          </w:p>
        </w:tc>
        <w:tc>
          <w:tcPr>
            <w:tcW w:w="4343" w:type="dxa"/>
            <w:vAlign w:val="center"/>
          </w:tcPr>
          <w:p w14:paraId="653B0041" w14:textId="5990EC31" w:rsidR="00E91A92" w:rsidRDefault="001B40BE" w:rsidP="00E91A92">
            <w:pPr>
              <w:pStyle w:val="NoSpacing"/>
            </w:pPr>
            <w:r>
              <w:t xml:space="preserve">Clarification of ICB governance and job titles; query on delegated sourcing to hospital discharge teams. </w:t>
            </w:r>
          </w:p>
        </w:tc>
      </w:tr>
      <w:tr w:rsidR="00FB62AA" w14:paraId="60CB267F" w14:textId="77777777" w:rsidTr="00B9694F">
        <w:trPr>
          <w:trHeight w:val="423"/>
        </w:trPr>
        <w:tc>
          <w:tcPr>
            <w:tcW w:w="1090" w:type="dxa"/>
            <w:vAlign w:val="center"/>
          </w:tcPr>
          <w:p w14:paraId="5954B4B0" w14:textId="606D3C0F" w:rsidR="00E91A92" w:rsidRDefault="00655FE9" w:rsidP="00E91A92">
            <w:pPr>
              <w:pStyle w:val="NoSpacing"/>
            </w:pPr>
            <w:r>
              <w:t>0.4</w:t>
            </w:r>
          </w:p>
        </w:tc>
        <w:tc>
          <w:tcPr>
            <w:tcW w:w="1195" w:type="dxa"/>
            <w:vAlign w:val="center"/>
          </w:tcPr>
          <w:p w14:paraId="21A4A8DE" w14:textId="290FE8A4" w:rsidR="00E91A92" w:rsidRDefault="00655FE9" w:rsidP="00E91A92">
            <w:pPr>
              <w:pStyle w:val="NoSpacing"/>
            </w:pPr>
            <w:r>
              <w:t>2/3/2022</w:t>
            </w:r>
          </w:p>
        </w:tc>
        <w:tc>
          <w:tcPr>
            <w:tcW w:w="2388" w:type="dxa"/>
            <w:vAlign w:val="center"/>
          </w:tcPr>
          <w:p w14:paraId="44EF19D3" w14:textId="3665C852" w:rsidR="00E91A92" w:rsidRDefault="00655FE9" w:rsidP="00E91A92">
            <w:pPr>
              <w:pStyle w:val="NoSpacing"/>
            </w:pPr>
            <w:r>
              <w:t>Carolyn Lowe</w:t>
            </w:r>
          </w:p>
        </w:tc>
        <w:tc>
          <w:tcPr>
            <w:tcW w:w="4343" w:type="dxa"/>
            <w:vAlign w:val="center"/>
          </w:tcPr>
          <w:p w14:paraId="23BE90F1" w14:textId="5276D505" w:rsidR="00E91A92" w:rsidRDefault="000931A3" w:rsidP="00E91A92">
            <w:pPr>
              <w:pStyle w:val="NoSpacing"/>
            </w:pPr>
            <w:r>
              <w:t xml:space="preserve">Addition of further clarifications of points of difference between CHC and CYPCC. </w:t>
            </w:r>
          </w:p>
        </w:tc>
      </w:tr>
      <w:tr w:rsidR="00FB62AA" w14:paraId="6122946F" w14:textId="77777777" w:rsidTr="00B9694F">
        <w:trPr>
          <w:trHeight w:val="423"/>
        </w:trPr>
        <w:tc>
          <w:tcPr>
            <w:tcW w:w="1090" w:type="dxa"/>
            <w:vAlign w:val="center"/>
          </w:tcPr>
          <w:p w14:paraId="6C90B1C6" w14:textId="3F3662CC" w:rsidR="00E91A92" w:rsidRDefault="00655FE9" w:rsidP="00E91A92">
            <w:pPr>
              <w:pStyle w:val="NoSpacing"/>
            </w:pPr>
            <w:r>
              <w:t>0.5</w:t>
            </w:r>
          </w:p>
        </w:tc>
        <w:tc>
          <w:tcPr>
            <w:tcW w:w="1195" w:type="dxa"/>
            <w:vAlign w:val="center"/>
          </w:tcPr>
          <w:p w14:paraId="0600D864" w14:textId="4D1A635B" w:rsidR="00E91A92" w:rsidRDefault="00655FE9" w:rsidP="00E91A92">
            <w:pPr>
              <w:pStyle w:val="NoSpacing"/>
            </w:pPr>
            <w:r>
              <w:t>11/3/2022</w:t>
            </w:r>
          </w:p>
        </w:tc>
        <w:tc>
          <w:tcPr>
            <w:tcW w:w="2388" w:type="dxa"/>
            <w:vAlign w:val="center"/>
          </w:tcPr>
          <w:p w14:paraId="697A37B0" w14:textId="16D49C7C" w:rsidR="00E91A92" w:rsidRDefault="00655FE9" w:rsidP="00E91A92">
            <w:pPr>
              <w:pStyle w:val="NoSpacing"/>
            </w:pPr>
            <w:r>
              <w:t xml:space="preserve">CYPCC Team </w:t>
            </w:r>
          </w:p>
        </w:tc>
        <w:tc>
          <w:tcPr>
            <w:tcW w:w="4343" w:type="dxa"/>
            <w:vAlign w:val="center"/>
          </w:tcPr>
          <w:p w14:paraId="10B74018" w14:textId="69CBA2DA" w:rsidR="00E91A92" w:rsidRDefault="00BC2869" w:rsidP="00E91A92">
            <w:pPr>
              <w:pStyle w:val="NoSpacing"/>
            </w:pPr>
            <w:r>
              <w:t>Addition of further clarifications of points of difference between CHC and CYPCC.</w:t>
            </w:r>
          </w:p>
        </w:tc>
      </w:tr>
      <w:tr w:rsidR="00FB62AA" w14:paraId="41393701" w14:textId="77777777" w:rsidTr="00B9694F">
        <w:trPr>
          <w:trHeight w:val="423"/>
        </w:trPr>
        <w:tc>
          <w:tcPr>
            <w:tcW w:w="1090" w:type="dxa"/>
            <w:vAlign w:val="center"/>
          </w:tcPr>
          <w:p w14:paraId="06A55D9D" w14:textId="7CCE744D" w:rsidR="00E91A92" w:rsidRDefault="00151E74" w:rsidP="00E91A92">
            <w:pPr>
              <w:pStyle w:val="NoSpacing"/>
            </w:pPr>
            <w:r>
              <w:t>0.6</w:t>
            </w:r>
          </w:p>
        </w:tc>
        <w:tc>
          <w:tcPr>
            <w:tcW w:w="1195" w:type="dxa"/>
            <w:vAlign w:val="center"/>
          </w:tcPr>
          <w:p w14:paraId="11050A1C" w14:textId="33E2E7CA" w:rsidR="00E91A92" w:rsidRDefault="00151E74" w:rsidP="00E91A92">
            <w:pPr>
              <w:pStyle w:val="NoSpacing"/>
            </w:pPr>
            <w:r>
              <w:t>8/4/2022</w:t>
            </w:r>
          </w:p>
        </w:tc>
        <w:tc>
          <w:tcPr>
            <w:tcW w:w="2388" w:type="dxa"/>
            <w:vAlign w:val="center"/>
          </w:tcPr>
          <w:p w14:paraId="5C6CB3D5" w14:textId="77777777" w:rsidR="00E91A92" w:rsidRDefault="00151E74" w:rsidP="00B9694F">
            <w:pPr>
              <w:pStyle w:val="NoSpacing"/>
            </w:pPr>
            <w:r>
              <w:t>Alyson Taylor</w:t>
            </w:r>
          </w:p>
          <w:p w14:paraId="18626984" w14:textId="1DE15EBB" w:rsidR="00A2129C" w:rsidRDefault="00A2129C" w:rsidP="00B9694F">
            <w:pPr>
              <w:pStyle w:val="NoSpacing"/>
            </w:pPr>
          </w:p>
          <w:p w14:paraId="69FBE95F" w14:textId="1F644E0B" w:rsidR="00A2129C" w:rsidRDefault="00A2129C" w:rsidP="00B9694F">
            <w:pPr>
              <w:pStyle w:val="NoSpacing"/>
            </w:pPr>
          </w:p>
          <w:p w14:paraId="6612CFEA" w14:textId="7ABF2EA1" w:rsidR="00AC0034" w:rsidRDefault="00AC0034" w:rsidP="00B9694F">
            <w:pPr>
              <w:pStyle w:val="NoSpacing"/>
            </w:pPr>
          </w:p>
          <w:p w14:paraId="136CC28A" w14:textId="77777777" w:rsidR="00AC0034" w:rsidRDefault="00AC0034" w:rsidP="00B9694F">
            <w:pPr>
              <w:pStyle w:val="NoSpacing"/>
            </w:pPr>
          </w:p>
          <w:p w14:paraId="07737EC7" w14:textId="4CBB2F72" w:rsidR="00A2129C" w:rsidRDefault="00AC0034" w:rsidP="00B9694F">
            <w:pPr>
              <w:pStyle w:val="NoSpacing"/>
            </w:pPr>
            <w:r>
              <w:t>&amp; Kevin Howard</w:t>
            </w:r>
          </w:p>
          <w:p w14:paraId="6908E4DF" w14:textId="77777777" w:rsidR="00A2129C" w:rsidRDefault="00A2129C" w:rsidP="00B9694F">
            <w:pPr>
              <w:pStyle w:val="NoSpacing"/>
            </w:pPr>
          </w:p>
          <w:p w14:paraId="67EA6B7B" w14:textId="77777777" w:rsidR="00AC0034" w:rsidRDefault="00AC0034" w:rsidP="00B9694F">
            <w:pPr>
              <w:pStyle w:val="NoSpacing"/>
            </w:pPr>
          </w:p>
          <w:p w14:paraId="1BE9BB6D" w14:textId="77777777" w:rsidR="00AC0034" w:rsidRDefault="00AC0034" w:rsidP="00B9694F">
            <w:pPr>
              <w:pStyle w:val="NoSpacing"/>
            </w:pPr>
          </w:p>
          <w:p w14:paraId="43A155C5" w14:textId="77777777" w:rsidR="00AC0034" w:rsidRDefault="00AC0034" w:rsidP="00B9694F">
            <w:pPr>
              <w:pStyle w:val="NoSpacing"/>
            </w:pPr>
          </w:p>
          <w:p w14:paraId="09617EE2" w14:textId="70C7FF7D" w:rsidR="00A2129C" w:rsidRDefault="00A2129C" w:rsidP="00B9694F">
            <w:pPr>
              <w:pStyle w:val="NoSpacing"/>
            </w:pPr>
            <w:r>
              <w:t>&amp; Alfred Bandakpara-Taylor</w:t>
            </w:r>
          </w:p>
        </w:tc>
        <w:tc>
          <w:tcPr>
            <w:tcW w:w="4343" w:type="dxa"/>
            <w:vAlign w:val="center"/>
          </w:tcPr>
          <w:p w14:paraId="354BCB97" w14:textId="794E60AD" w:rsidR="00AC0034" w:rsidRDefault="00151E74" w:rsidP="00B9694F">
            <w:pPr>
              <w:pStyle w:val="NoSpacing"/>
            </w:pPr>
            <w:r>
              <w:t xml:space="preserve">Clarification of points from previous feedback. Clarity on redress v retrospective claims for </w:t>
            </w:r>
            <w:r w:rsidR="00642116">
              <w:t>newly eligible</w:t>
            </w:r>
            <w:r>
              <w:t xml:space="preserve"> </w:t>
            </w:r>
            <w:r w:rsidR="00642116">
              <w:t>cases.</w:t>
            </w:r>
            <w:r w:rsidR="00A2129C">
              <w:t xml:space="preserve"> </w:t>
            </w:r>
          </w:p>
          <w:p w14:paraId="7A9FB4D4" w14:textId="77777777" w:rsidR="00AC0034" w:rsidRDefault="00AC0034" w:rsidP="00B9694F">
            <w:pPr>
              <w:pStyle w:val="NoSpacing"/>
            </w:pPr>
          </w:p>
          <w:p w14:paraId="6D4E5E1C" w14:textId="1AA2070A" w:rsidR="00A2129C" w:rsidRDefault="00AC0034" w:rsidP="00B9694F">
            <w:pPr>
              <w:pStyle w:val="NoSpacing"/>
            </w:pPr>
            <w:r>
              <w:t>C</w:t>
            </w:r>
            <w:r w:rsidR="00BC2869">
              <w:t xml:space="preserve">larification of </w:t>
            </w:r>
            <w:r>
              <w:t xml:space="preserve">invoicing requirements, </w:t>
            </w:r>
            <w:r w:rsidR="00BC2869">
              <w:t>funding suspension</w:t>
            </w:r>
            <w:r>
              <w:t>/cessation</w:t>
            </w:r>
            <w:r w:rsidR="00BC2869">
              <w:t xml:space="preserve"> parameters.</w:t>
            </w:r>
          </w:p>
          <w:p w14:paraId="0151479B" w14:textId="77777777" w:rsidR="00A2129C" w:rsidRDefault="00A2129C" w:rsidP="00B9694F">
            <w:pPr>
              <w:pStyle w:val="NoSpacing"/>
            </w:pPr>
          </w:p>
          <w:p w14:paraId="7C4D6C1B" w14:textId="418F24E6" w:rsidR="00E91A92" w:rsidRDefault="00A2129C" w:rsidP="00B9694F">
            <w:pPr>
              <w:pStyle w:val="NoSpacing"/>
            </w:pPr>
            <w:r>
              <w:t xml:space="preserve">Collaboration and addition of Zero Tolerance section. </w:t>
            </w:r>
          </w:p>
        </w:tc>
      </w:tr>
      <w:tr w:rsidR="00FB62AA" w14:paraId="52A28005" w14:textId="77777777" w:rsidTr="00B9694F">
        <w:trPr>
          <w:trHeight w:val="423"/>
        </w:trPr>
        <w:tc>
          <w:tcPr>
            <w:tcW w:w="1090" w:type="dxa"/>
            <w:vAlign w:val="center"/>
          </w:tcPr>
          <w:p w14:paraId="4AFFEA1E" w14:textId="76A5D792" w:rsidR="00E91A92" w:rsidRDefault="00B9694F" w:rsidP="00E91A92">
            <w:pPr>
              <w:pStyle w:val="NoSpacing"/>
            </w:pPr>
            <w:r>
              <w:t>0.7</w:t>
            </w:r>
          </w:p>
        </w:tc>
        <w:tc>
          <w:tcPr>
            <w:tcW w:w="1195" w:type="dxa"/>
            <w:vAlign w:val="center"/>
          </w:tcPr>
          <w:p w14:paraId="56C5690C" w14:textId="08178522" w:rsidR="00E91A92" w:rsidRDefault="00B9694F" w:rsidP="00E91A92">
            <w:pPr>
              <w:pStyle w:val="NoSpacing"/>
            </w:pPr>
            <w:r>
              <w:t>19/4/2022</w:t>
            </w:r>
          </w:p>
        </w:tc>
        <w:tc>
          <w:tcPr>
            <w:tcW w:w="2388" w:type="dxa"/>
            <w:vAlign w:val="center"/>
          </w:tcPr>
          <w:p w14:paraId="6E5BDDA1" w14:textId="12D455B6" w:rsidR="00E91A92" w:rsidRDefault="00B9694F" w:rsidP="00E91A92">
            <w:pPr>
              <w:pStyle w:val="NoSpacing"/>
            </w:pPr>
            <w:r>
              <w:t xml:space="preserve">Alyson Taylor </w:t>
            </w:r>
          </w:p>
        </w:tc>
        <w:tc>
          <w:tcPr>
            <w:tcW w:w="4343" w:type="dxa"/>
            <w:vAlign w:val="center"/>
          </w:tcPr>
          <w:p w14:paraId="55525562" w14:textId="332A1149" w:rsidR="00E91A92" w:rsidRDefault="00B9694F" w:rsidP="00E91A92">
            <w:pPr>
              <w:pStyle w:val="NoSpacing"/>
            </w:pPr>
            <w:r>
              <w:t xml:space="preserve">Tracked changes accepted, reformatted to add further </w:t>
            </w:r>
            <w:r w:rsidR="001D6DD0">
              <w:t xml:space="preserve">subheadings to contents page </w:t>
            </w:r>
            <w:r>
              <w:t xml:space="preserve">for ease of </w:t>
            </w:r>
            <w:r w:rsidR="001D6DD0">
              <w:t>location of specific elements</w:t>
            </w:r>
            <w:r>
              <w:t xml:space="preserve">. Spelling / grammar check. Final draft created for approval. </w:t>
            </w:r>
          </w:p>
        </w:tc>
      </w:tr>
      <w:tr w:rsidR="00C050AC" w14:paraId="117505C0" w14:textId="77777777" w:rsidTr="00B9694F">
        <w:trPr>
          <w:trHeight w:val="423"/>
        </w:trPr>
        <w:tc>
          <w:tcPr>
            <w:tcW w:w="1090" w:type="dxa"/>
            <w:vAlign w:val="center"/>
          </w:tcPr>
          <w:p w14:paraId="35268DE6" w14:textId="78FEDAB7" w:rsidR="00C050AC" w:rsidRDefault="00C050AC" w:rsidP="00E91A92">
            <w:pPr>
              <w:pStyle w:val="NoSpacing"/>
            </w:pPr>
            <w:r>
              <w:t>0.8</w:t>
            </w:r>
          </w:p>
        </w:tc>
        <w:tc>
          <w:tcPr>
            <w:tcW w:w="1195" w:type="dxa"/>
            <w:vAlign w:val="center"/>
          </w:tcPr>
          <w:p w14:paraId="231E89B9" w14:textId="6C5D7A00" w:rsidR="00C050AC" w:rsidRDefault="00C050AC" w:rsidP="00E91A92">
            <w:pPr>
              <w:pStyle w:val="NoSpacing"/>
            </w:pPr>
            <w:r>
              <w:t>26/4/2022</w:t>
            </w:r>
          </w:p>
        </w:tc>
        <w:tc>
          <w:tcPr>
            <w:tcW w:w="2388" w:type="dxa"/>
            <w:vAlign w:val="center"/>
          </w:tcPr>
          <w:p w14:paraId="65963786" w14:textId="63F76729" w:rsidR="00C050AC" w:rsidRDefault="00C050AC" w:rsidP="00E91A92">
            <w:pPr>
              <w:pStyle w:val="NoSpacing"/>
            </w:pPr>
            <w:r>
              <w:t>Alyson Taylor</w:t>
            </w:r>
          </w:p>
        </w:tc>
        <w:tc>
          <w:tcPr>
            <w:tcW w:w="4343" w:type="dxa"/>
            <w:vAlign w:val="center"/>
          </w:tcPr>
          <w:p w14:paraId="4EDD0E28" w14:textId="01398A16" w:rsidR="00C050AC" w:rsidRDefault="00C050AC" w:rsidP="00E91A92">
            <w:pPr>
              <w:pStyle w:val="NoSpacing"/>
            </w:pPr>
            <w:r>
              <w:t xml:space="preserve">Clarification of ICB position on CQC registration requirements for delivery of commissioned care packages. </w:t>
            </w:r>
          </w:p>
        </w:tc>
      </w:tr>
      <w:tr w:rsidR="00B26E08" w14:paraId="28857816" w14:textId="77777777" w:rsidTr="00B9694F">
        <w:trPr>
          <w:trHeight w:val="423"/>
        </w:trPr>
        <w:tc>
          <w:tcPr>
            <w:tcW w:w="1090" w:type="dxa"/>
            <w:vAlign w:val="center"/>
          </w:tcPr>
          <w:p w14:paraId="64B3392E" w14:textId="4D809F88" w:rsidR="00B26E08" w:rsidRDefault="00B26E08" w:rsidP="00E91A92">
            <w:pPr>
              <w:pStyle w:val="NoSpacing"/>
            </w:pPr>
            <w:r>
              <w:t>0.9</w:t>
            </w:r>
            <w:r w:rsidR="00820CF1">
              <w:t>a</w:t>
            </w:r>
          </w:p>
        </w:tc>
        <w:tc>
          <w:tcPr>
            <w:tcW w:w="1195" w:type="dxa"/>
            <w:vAlign w:val="center"/>
          </w:tcPr>
          <w:p w14:paraId="4AA5921F" w14:textId="562D7B6B" w:rsidR="00B26E08" w:rsidRDefault="00B26E08" w:rsidP="00E91A92">
            <w:pPr>
              <w:pStyle w:val="NoSpacing"/>
            </w:pPr>
            <w:r>
              <w:t>23/5/2022</w:t>
            </w:r>
          </w:p>
        </w:tc>
        <w:tc>
          <w:tcPr>
            <w:tcW w:w="2388" w:type="dxa"/>
            <w:vAlign w:val="center"/>
          </w:tcPr>
          <w:p w14:paraId="4CE38521" w14:textId="3CBEF412" w:rsidR="00B26E08" w:rsidRDefault="00B26E08" w:rsidP="00E91A92">
            <w:pPr>
              <w:pStyle w:val="NoSpacing"/>
            </w:pPr>
            <w:r>
              <w:t>Carolyn Lowe</w:t>
            </w:r>
          </w:p>
        </w:tc>
        <w:tc>
          <w:tcPr>
            <w:tcW w:w="4343" w:type="dxa"/>
            <w:vAlign w:val="center"/>
          </w:tcPr>
          <w:p w14:paraId="4F7722F9" w14:textId="425372C4" w:rsidR="00B26E08" w:rsidRDefault="00B26E08" w:rsidP="00E91A92">
            <w:pPr>
              <w:pStyle w:val="NoSpacing"/>
            </w:pPr>
            <w:r>
              <w:t>Clarification @ 6.5.5 and 6.26.12 re LAC.</w:t>
            </w:r>
          </w:p>
        </w:tc>
      </w:tr>
      <w:tr w:rsidR="00820CF1" w14:paraId="64BBB551" w14:textId="77777777" w:rsidTr="00B9694F">
        <w:trPr>
          <w:trHeight w:val="423"/>
        </w:trPr>
        <w:tc>
          <w:tcPr>
            <w:tcW w:w="1090" w:type="dxa"/>
            <w:vAlign w:val="center"/>
          </w:tcPr>
          <w:p w14:paraId="73C0026E" w14:textId="129E1084" w:rsidR="00820CF1" w:rsidRDefault="00820CF1" w:rsidP="00E91A92">
            <w:pPr>
              <w:pStyle w:val="NoSpacing"/>
            </w:pPr>
            <w:r>
              <w:t>0.9b</w:t>
            </w:r>
          </w:p>
        </w:tc>
        <w:tc>
          <w:tcPr>
            <w:tcW w:w="1195" w:type="dxa"/>
            <w:vAlign w:val="center"/>
          </w:tcPr>
          <w:p w14:paraId="282A3A23" w14:textId="44CDAB2A" w:rsidR="00820CF1" w:rsidRDefault="00820CF1" w:rsidP="00E91A92">
            <w:pPr>
              <w:pStyle w:val="NoSpacing"/>
            </w:pPr>
            <w:r>
              <w:t>28/6/2022</w:t>
            </w:r>
          </w:p>
        </w:tc>
        <w:tc>
          <w:tcPr>
            <w:tcW w:w="2388" w:type="dxa"/>
            <w:vAlign w:val="center"/>
          </w:tcPr>
          <w:p w14:paraId="2BF94FA8" w14:textId="77777777" w:rsidR="00820CF1" w:rsidRDefault="00820CF1" w:rsidP="00E91A92">
            <w:pPr>
              <w:pStyle w:val="NoSpacing"/>
            </w:pPr>
            <w:r>
              <w:t xml:space="preserve">Alyson Taylor, </w:t>
            </w:r>
          </w:p>
          <w:p w14:paraId="77051413" w14:textId="4159C577" w:rsidR="00820CF1" w:rsidRDefault="00820CF1" w:rsidP="00E91A92">
            <w:pPr>
              <w:pStyle w:val="NoSpacing"/>
            </w:pPr>
            <w:r>
              <w:t>Sam Galvin</w:t>
            </w:r>
          </w:p>
        </w:tc>
        <w:tc>
          <w:tcPr>
            <w:tcW w:w="4343" w:type="dxa"/>
            <w:vAlign w:val="center"/>
          </w:tcPr>
          <w:p w14:paraId="18E0020F" w14:textId="0023FA85" w:rsidR="00820CF1" w:rsidRDefault="00820CF1" w:rsidP="00E91A92">
            <w:pPr>
              <w:pStyle w:val="NoSpacing"/>
            </w:pPr>
            <w:r>
              <w:t xml:space="preserve">Final update of linked policies and statutory references; formatting for ICB requirements. </w:t>
            </w:r>
          </w:p>
        </w:tc>
      </w:tr>
      <w:tr w:rsidR="00393B60" w14:paraId="3FB29E2A" w14:textId="77777777" w:rsidTr="00B9694F">
        <w:trPr>
          <w:trHeight w:val="423"/>
        </w:trPr>
        <w:tc>
          <w:tcPr>
            <w:tcW w:w="1090" w:type="dxa"/>
            <w:vAlign w:val="center"/>
          </w:tcPr>
          <w:p w14:paraId="5547C4AF" w14:textId="7A4F9465" w:rsidR="00393B60" w:rsidRDefault="00393B60" w:rsidP="00E91A92">
            <w:pPr>
              <w:pStyle w:val="NoSpacing"/>
            </w:pPr>
            <w:r>
              <w:t>1.0</w:t>
            </w:r>
          </w:p>
        </w:tc>
        <w:tc>
          <w:tcPr>
            <w:tcW w:w="1195" w:type="dxa"/>
            <w:vAlign w:val="center"/>
          </w:tcPr>
          <w:p w14:paraId="3D515833" w14:textId="2675D44A" w:rsidR="00393B60" w:rsidRDefault="00393B60" w:rsidP="00E91A92">
            <w:pPr>
              <w:pStyle w:val="NoSpacing"/>
            </w:pPr>
            <w:r>
              <w:t>06/07/2022</w:t>
            </w:r>
          </w:p>
        </w:tc>
        <w:tc>
          <w:tcPr>
            <w:tcW w:w="2388" w:type="dxa"/>
            <w:vAlign w:val="center"/>
          </w:tcPr>
          <w:p w14:paraId="74B16235" w14:textId="0F3DCFAB" w:rsidR="00393B60" w:rsidRDefault="00393B60" w:rsidP="00E91A92">
            <w:pPr>
              <w:pStyle w:val="NoSpacing"/>
            </w:pPr>
            <w:r>
              <w:t>Charlotte Tannett</w:t>
            </w:r>
          </w:p>
        </w:tc>
        <w:tc>
          <w:tcPr>
            <w:tcW w:w="4343" w:type="dxa"/>
            <w:vAlign w:val="center"/>
          </w:tcPr>
          <w:p w14:paraId="5411889C" w14:textId="0302F20B" w:rsidR="00393B60" w:rsidRDefault="00393B60" w:rsidP="00E91A92">
            <w:pPr>
              <w:pStyle w:val="NoSpacing"/>
            </w:pPr>
            <w:r>
              <w:t>Final review of version 1.0.</w:t>
            </w:r>
          </w:p>
        </w:tc>
      </w:tr>
    </w:tbl>
    <w:p w14:paraId="3F161D7A" w14:textId="77777777" w:rsidR="00F913CD" w:rsidRDefault="00F913CD" w:rsidP="00201DAA">
      <w:pPr>
        <w:ind w:left="0"/>
        <w:rPr>
          <w:color w:val="002365" w:themeColor="accent1" w:themeShade="BF"/>
          <w:sz w:val="32"/>
          <w:szCs w:val="32"/>
        </w:rPr>
      </w:pPr>
      <w:r>
        <w:br w:type="page"/>
      </w:r>
    </w:p>
    <w:p w14:paraId="254B7924" w14:textId="77777777" w:rsidR="00AE3E3F" w:rsidRPr="00DA22B6" w:rsidRDefault="00AE3E3F" w:rsidP="00AE3E3F">
      <w:pPr>
        <w:pStyle w:val="Heading1"/>
      </w:pPr>
      <w:r>
        <w:t>Contents</w:t>
      </w:r>
    </w:p>
    <w:p w14:paraId="3DE4D8F3" w14:textId="1E78CBD7" w:rsidR="00632E13" w:rsidRDefault="00AE3E3F">
      <w:pPr>
        <w:pStyle w:val="TOC1"/>
        <w:rPr>
          <w:rFonts w:eastAsiaTheme="minorEastAsia"/>
          <w:b w:val="0"/>
          <w:noProof/>
          <w:color w:val="auto"/>
          <w:sz w:val="22"/>
          <w:szCs w:val="22"/>
          <w:lang w:eastAsia="en-GB"/>
        </w:rPr>
      </w:pPr>
      <w:r w:rsidRPr="00030552">
        <w:rPr>
          <w:rFonts w:asciiTheme="majorHAnsi" w:hAnsiTheme="majorHAnsi" w:cstheme="majorHAnsi"/>
          <w:b w:val="0"/>
          <w:highlight w:val="yellow"/>
        </w:rPr>
        <w:fldChar w:fldCharType="begin"/>
      </w:r>
      <w:r w:rsidRPr="00030552">
        <w:rPr>
          <w:rFonts w:asciiTheme="majorHAnsi" w:hAnsiTheme="majorHAnsi" w:cstheme="majorHAnsi"/>
          <w:b w:val="0"/>
          <w:highlight w:val="yellow"/>
        </w:rPr>
        <w:instrText xml:space="preserve"> TOC \h \z \t "Heading 2,1,Heading 3,2" </w:instrText>
      </w:r>
      <w:r w:rsidRPr="00030552">
        <w:rPr>
          <w:rFonts w:asciiTheme="majorHAnsi" w:hAnsiTheme="majorHAnsi" w:cstheme="majorHAnsi"/>
          <w:b w:val="0"/>
          <w:highlight w:val="yellow"/>
        </w:rPr>
        <w:fldChar w:fldCharType="separate"/>
      </w:r>
      <w:hyperlink w:anchor="_Toc110851913" w:history="1">
        <w:r w:rsidR="00632E13" w:rsidRPr="00B924BC">
          <w:rPr>
            <w:rStyle w:val="Hyperlink"/>
            <w:noProof/>
          </w:rPr>
          <w:t>1.</w:t>
        </w:r>
        <w:r w:rsidR="00632E13">
          <w:rPr>
            <w:rFonts w:eastAsiaTheme="minorEastAsia"/>
            <w:b w:val="0"/>
            <w:noProof/>
            <w:color w:val="auto"/>
            <w:sz w:val="22"/>
            <w:szCs w:val="22"/>
            <w:lang w:eastAsia="en-GB"/>
          </w:rPr>
          <w:tab/>
        </w:r>
        <w:r w:rsidR="00632E13" w:rsidRPr="00B924BC">
          <w:rPr>
            <w:rStyle w:val="Hyperlink"/>
            <w:noProof/>
          </w:rPr>
          <w:t>Introduction</w:t>
        </w:r>
        <w:r w:rsidR="00632E13">
          <w:rPr>
            <w:noProof/>
            <w:webHidden/>
          </w:rPr>
          <w:tab/>
        </w:r>
        <w:r w:rsidR="00632E13">
          <w:rPr>
            <w:noProof/>
            <w:webHidden/>
          </w:rPr>
          <w:fldChar w:fldCharType="begin"/>
        </w:r>
        <w:r w:rsidR="00632E13">
          <w:rPr>
            <w:noProof/>
            <w:webHidden/>
          </w:rPr>
          <w:instrText xml:space="preserve"> PAGEREF _Toc110851913 \h </w:instrText>
        </w:r>
        <w:r w:rsidR="00632E13">
          <w:rPr>
            <w:noProof/>
            <w:webHidden/>
          </w:rPr>
        </w:r>
        <w:r w:rsidR="00632E13">
          <w:rPr>
            <w:noProof/>
            <w:webHidden/>
          </w:rPr>
          <w:fldChar w:fldCharType="separate"/>
        </w:r>
        <w:r w:rsidR="00632E13">
          <w:rPr>
            <w:noProof/>
            <w:webHidden/>
          </w:rPr>
          <w:t>5</w:t>
        </w:r>
        <w:r w:rsidR="00632E13">
          <w:rPr>
            <w:noProof/>
            <w:webHidden/>
          </w:rPr>
          <w:fldChar w:fldCharType="end"/>
        </w:r>
      </w:hyperlink>
    </w:p>
    <w:p w14:paraId="0F63B72D" w14:textId="347D04B5" w:rsidR="00632E13" w:rsidRDefault="00632E13">
      <w:pPr>
        <w:pStyle w:val="TOC1"/>
        <w:rPr>
          <w:rFonts w:eastAsiaTheme="minorEastAsia"/>
          <w:b w:val="0"/>
          <w:noProof/>
          <w:color w:val="auto"/>
          <w:sz w:val="22"/>
          <w:szCs w:val="22"/>
          <w:lang w:eastAsia="en-GB"/>
        </w:rPr>
      </w:pPr>
      <w:hyperlink w:anchor="_Toc110851914" w:history="1">
        <w:r w:rsidRPr="00B924BC">
          <w:rPr>
            <w:rStyle w:val="Hyperlink"/>
            <w:noProof/>
          </w:rPr>
          <w:t>2.</w:t>
        </w:r>
        <w:r>
          <w:rPr>
            <w:rFonts w:eastAsiaTheme="minorEastAsia"/>
            <w:b w:val="0"/>
            <w:noProof/>
            <w:color w:val="auto"/>
            <w:sz w:val="22"/>
            <w:szCs w:val="22"/>
            <w:lang w:eastAsia="en-GB"/>
          </w:rPr>
          <w:tab/>
        </w:r>
        <w:r w:rsidRPr="00B924BC">
          <w:rPr>
            <w:rStyle w:val="Hyperlink"/>
            <w:noProof/>
          </w:rPr>
          <w:t>Purpose / Policy Statement</w:t>
        </w:r>
        <w:r>
          <w:rPr>
            <w:noProof/>
            <w:webHidden/>
          </w:rPr>
          <w:tab/>
        </w:r>
        <w:r>
          <w:rPr>
            <w:noProof/>
            <w:webHidden/>
          </w:rPr>
          <w:fldChar w:fldCharType="begin"/>
        </w:r>
        <w:r>
          <w:rPr>
            <w:noProof/>
            <w:webHidden/>
          </w:rPr>
          <w:instrText xml:space="preserve"> PAGEREF _Toc110851914 \h </w:instrText>
        </w:r>
        <w:r>
          <w:rPr>
            <w:noProof/>
            <w:webHidden/>
          </w:rPr>
        </w:r>
        <w:r>
          <w:rPr>
            <w:noProof/>
            <w:webHidden/>
          </w:rPr>
          <w:fldChar w:fldCharType="separate"/>
        </w:r>
        <w:r>
          <w:rPr>
            <w:noProof/>
            <w:webHidden/>
          </w:rPr>
          <w:t>5</w:t>
        </w:r>
        <w:r>
          <w:rPr>
            <w:noProof/>
            <w:webHidden/>
          </w:rPr>
          <w:fldChar w:fldCharType="end"/>
        </w:r>
      </w:hyperlink>
    </w:p>
    <w:p w14:paraId="7F76E51A" w14:textId="28F970AD" w:rsidR="00632E13" w:rsidRDefault="00632E13">
      <w:pPr>
        <w:pStyle w:val="TOC1"/>
        <w:rPr>
          <w:rFonts w:eastAsiaTheme="minorEastAsia"/>
          <w:b w:val="0"/>
          <w:noProof/>
          <w:color w:val="auto"/>
          <w:sz w:val="22"/>
          <w:szCs w:val="22"/>
          <w:lang w:eastAsia="en-GB"/>
        </w:rPr>
      </w:pPr>
      <w:hyperlink w:anchor="_Toc110851915" w:history="1">
        <w:r w:rsidRPr="00B924BC">
          <w:rPr>
            <w:rStyle w:val="Hyperlink"/>
            <w:noProof/>
          </w:rPr>
          <w:t>3.</w:t>
        </w:r>
        <w:r>
          <w:rPr>
            <w:rFonts w:eastAsiaTheme="minorEastAsia"/>
            <w:b w:val="0"/>
            <w:noProof/>
            <w:color w:val="auto"/>
            <w:sz w:val="22"/>
            <w:szCs w:val="22"/>
            <w:lang w:eastAsia="en-GB"/>
          </w:rPr>
          <w:tab/>
        </w:r>
        <w:r w:rsidRPr="00B924BC">
          <w:rPr>
            <w:rStyle w:val="Hyperlink"/>
            <w:noProof/>
          </w:rPr>
          <w:t>Scope</w:t>
        </w:r>
        <w:r>
          <w:rPr>
            <w:noProof/>
            <w:webHidden/>
          </w:rPr>
          <w:tab/>
        </w:r>
        <w:r>
          <w:rPr>
            <w:noProof/>
            <w:webHidden/>
          </w:rPr>
          <w:fldChar w:fldCharType="begin"/>
        </w:r>
        <w:r>
          <w:rPr>
            <w:noProof/>
            <w:webHidden/>
          </w:rPr>
          <w:instrText xml:space="preserve"> PAGEREF _Toc110851915 \h </w:instrText>
        </w:r>
        <w:r>
          <w:rPr>
            <w:noProof/>
            <w:webHidden/>
          </w:rPr>
        </w:r>
        <w:r>
          <w:rPr>
            <w:noProof/>
            <w:webHidden/>
          </w:rPr>
          <w:fldChar w:fldCharType="separate"/>
        </w:r>
        <w:r>
          <w:rPr>
            <w:noProof/>
            <w:webHidden/>
          </w:rPr>
          <w:t>5</w:t>
        </w:r>
        <w:r>
          <w:rPr>
            <w:noProof/>
            <w:webHidden/>
          </w:rPr>
          <w:fldChar w:fldCharType="end"/>
        </w:r>
      </w:hyperlink>
    </w:p>
    <w:p w14:paraId="0F4019A6" w14:textId="77DF1099" w:rsidR="00632E13" w:rsidRDefault="00632E13">
      <w:pPr>
        <w:pStyle w:val="TOC1"/>
        <w:rPr>
          <w:rFonts w:eastAsiaTheme="minorEastAsia"/>
          <w:b w:val="0"/>
          <w:noProof/>
          <w:color w:val="auto"/>
          <w:sz w:val="22"/>
          <w:szCs w:val="22"/>
          <w:lang w:eastAsia="en-GB"/>
        </w:rPr>
      </w:pPr>
      <w:hyperlink w:anchor="_Toc110851916" w:history="1">
        <w:r w:rsidRPr="00B924BC">
          <w:rPr>
            <w:rStyle w:val="Hyperlink"/>
            <w:noProof/>
          </w:rPr>
          <w:t>4.</w:t>
        </w:r>
        <w:r>
          <w:rPr>
            <w:rFonts w:eastAsiaTheme="minorEastAsia"/>
            <w:b w:val="0"/>
            <w:noProof/>
            <w:color w:val="auto"/>
            <w:sz w:val="22"/>
            <w:szCs w:val="22"/>
            <w:lang w:eastAsia="en-GB"/>
          </w:rPr>
          <w:tab/>
        </w:r>
        <w:r w:rsidRPr="00B924BC">
          <w:rPr>
            <w:rStyle w:val="Hyperlink"/>
            <w:noProof/>
          </w:rPr>
          <w:t>Definitions</w:t>
        </w:r>
        <w:r>
          <w:rPr>
            <w:noProof/>
            <w:webHidden/>
          </w:rPr>
          <w:tab/>
        </w:r>
        <w:r>
          <w:rPr>
            <w:noProof/>
            <w:webHidden/>
          </w:rPr>
          <w:fldChar w:fldCharType="begin"/>
        </w:r>
        <w:r>
          <w:rPr>
            <w:noProof/>
            <w:webHidden/>
          </w:rPr>
          <w:instrText xml:space="preserve"> PAGEREF _Toc110851916 \h </w:instrText>
        </w:r>
        <w:r>
          <w:rPr>
            <w:noProof/>
            <w:webHidden/>
          </w:rPr>
        </w:r>
        <w:r>
          <w:rPr>
            <w:noProof/>
            <w:webHidden/>
          </w:rPr>
          <w:fldChar w:fldCharType="separate"/>
        </w:r>
        <w:r>
          <w:rPr>
            <w:noProof/>
            <w:webHidden/>
          </w:rPr>
          <w:t>6</w:t>
        </w:r>
        <w:r>
          <w:rPr>
            <w:noProof/>
            <w:webHidden/>
          </w:rPr>
          <w:fldChar w:fldCharType="end"/>
        </w:r>
      </w:hyperlink>
    </w:p>
    <w:p w14:paraId="2924AAE1" w14:textId="1E5B9378" w:rsidR="00632E13" w:rsidRDefault="00632E13">
      <w:pPr>
        <w:pStyle w:val="TOC1"/>
        <w:rPr>
          <w:rFonts w:eastAsiaTheme="minorEastAsia"/>
          <w:b w:val="0"/>
          <w:noProof/>
          <w:color w:val="auto"/>
          <w:sz w:val="22"/>
          <w:szCs w:val="22"/>
          <w:lang w:eastAsia="en-GB"/>
        </w:rPr>
      </w:pPr>
      <w:hyperlink w:anchor="_Toc110851917" w:history="1">
        <w:r w:rsidRPr="00B924BC">
          <w:rPr>
            <w:rStyle w:val="Hyperlink"/>
            <w:noProof/>
          </w:rPr>
          <w:t>5.</w:t>
        </w:r>
        <w:r>
          <w:rPr>
            <w:rFonts w:eastAsiaTheme="minorEastAsia"/>
            <w:b w:val="0"/>
            <w:noProof/>
            <w:color w:val="auto"/>
            <w:sz w:val="22"/>
            <w:szCs w:val="22"/>
            <w:lang w:eastAsia="en-GB"/>
          </w:rPr>
          <w:tab/>
        </w:r>
        <w:r w:rsidRPr="00B924BC">
          <w:rPr>
            <w:rStyle w:val="Hyperlink"/>
            <w:noProof/>
          </w:rPr>
          <w:t>Roles and Responsibilities</w:t>
        </w:r>
        <w:r>
          <w:rPr>
            <w:noProof/>
            <w:webHidden/>
          </w:rPr>
          <w:tab/>
        </w:r>
        <w:r>
          <w:rPr>
            <w:noProof/>
            <w:webHidden/>
          </w:rPr>
          <w:fldChar w:fldCharType="begin"/>
        </w:r>
        <w:r>
          <w:rPr>
            <w:noProof/>
            <w:webHidden/>
          </w:rPr>
          <w:instrText xml:space="preserve"> PAGEREF _Toc110851917 \h </w:instrText>
        </w:r>
        <w:r>
          <w:rPr>
            <w:noProof/>
            <w:webHidden/>
          </w:rPr>
        </w:r>
        <w:r>
          <w:rPr>
            <w:noProof/>
            <w:webHidden/>
          </w:rPr>
          <w:fldChar w:fldCharType="separate"/>
        </w:r>
        <w:r>
          <w:rPr>
            <w:noProof/>
            <w:webHidden/>
          </w:rPr>
          <w:t>12</w:t>
        </w:r>
        <w:r>
          <w:rPr>
            <w:noProof/>
            <w:webHidden/>
          </w:rPr>
          <w:fldChar w:fldCharType="end"/>
        </w:r>
      </w:hyperlink>
    </w:p>
    <w:p w14:paraId="7EBC4EB4" w14:textId="5A7F73DE" w:rsidR="00632E13" w:rsidRDefault="00632E13">
      <w:pPr>
        <w:pStyle w:val="TOC2"/>
        <w:tabs>
          <w:tab w:val="right" w:leader="underscore" w:pos="9016"/>
        </w:tabs>
        <w:rPr>
          <w:rFonts w:eastAsiaTheme="minorEastAsia"/>
          <w:noProof/>
          <w:color w:val="auto"/>
          <w:sz w:val="22"/>
          <w:szCs w:val="22"/>
          <w:lang w:eastAsia="en-GB"/>
        </w:rPr>
      </w:pPr>
      <w:hyperlink w:anchor="_Toc110851918" w:history="1">
        <w:r w:rsidRPr="00B924BC">
          <w:rPr>
            <w:rStyle w:val="Hyperlink"/>
            <w:noProof/>
          </w:rPr>
          <w:t>5.1.</w:t>
        </w:r>
        <w:r>
          <w:rPr>
            <w:rFonts w:eastAsiaTheme="minorEastAsia"/>
            <w:noProof/>
            <w:color w:val="auto"/>
            <w:sz w:val="22"/>
            <w:szCs w:val="22"/>
            <w:lang w:eastAsia="en-GB"/>
          </w:rPr>
          <w:tab/>
        </w:r>
        <w:r w:rsidRPr="00B924BC">
          <w:rPr>
            <w:rStyle w:val="Hyperlink"/>
            <w:noProof/>
          </w:rPr>
          <w:t>Integrated Care Board (ICB)</w:t>
        </w:r>
        <w:r>
          <w:rPr>
            <w:noProof/>
            <w:webHidden/>
          </w:rPr>
          <w:tab/>
        </w:r>
        <w:r>
          <w:rPr>
            <w:noProof/>
            <w:webHidden/>
          </w:rPr>
          <w:fldChar w:fldCharType="begin"/>
        </w:r>
        <w:r>
          <w:rPr>
            <w:noProof/>
            <w:webHidden/>
          </w:rPr>
          <w:instrText xml:space="preserve"> PAGEREF _Toc110851918 \h </w:instrText>
        </w:r>
        <w:r>
          <w:rPr>
            <w:noProof/>
            <w:webHidden/>
          </w:rPr>
        </w:r>
        <w:r>
          <w:rPr>
            <w:noProof/>
            <w:webHidden/>
          </w:rPr>
          <w:fldChar w:fldCharType="separate"/>
        </w:r>
        <w:r>
          <w:rPr>
            <w:noProof/>
            <w:webHidden/>
          </w:rPr>
          <w:t>12</w:t>
        </w:r>
        <w:r>
          <w:rPr>
            <w:noProof/>
            <w:webHidden/>
          </w:rPr>
          <w:fldChar w:fldCharType="end"/>
        </w:r>
      </w:hyperlink>
    </w:p>
    <w:p w14:paraId="19244ED9" w14:textId="4B35E907" w:rsidR="00632E13" w:rsidRDefault="00632E13">
      <w:pPr>
        <w:pStyle w:val="TOC2"/>
        <w:tabs>
          <w:tab w:val="right" w:leader="underscore" w:pos="9016"/>
        </w:tabs>
        <w:rPr>
          <w:rFonts w:eastAsiaTheme="minorEastAsia"/>
          <w:noProof/>
          <w:color w:val="auto"/>
          <w:sz w:val="22"/>
          <w:szCs w:val="22"/>
          <w:lang w:eastAsia="en-GB"/>
        </w:rPr>
      </w:pPr>
      <w:hyperlink w:anchor="_Toc110851919" w:history="1">
        <w:r w:rsidRPr="00B924BC">
          <w:rPr>
            <w:rStyle w:val="Hyperlink"/>
            <w:noProof/>
          </w:rPr>
          <w:t>5.2.</w:t>
        </w:r>
        <w:r>
          <w:rPr>
            <w:rFonts w:eastAsiaTheme="minorEastAsia"/>
            <w:noProof/>
            <w:color w:val="auto"/>
            <w:sz w:val="22"/>
            <w:szCs w:val="22"/>
            <w:lang w:eastAsia="en-GB"/>
          </w:rPr>
          <w:tab/>
        </w:r>
        <w:r w:rsidRPr="00B924BC">
          <w:rPr>
            <w:rStyle w:val="Hyperlink"/>
            <w:noProof/>
          </w:rPr>
          <w:t>Quality Committee</w:t>
        </w:r>
        <w:r>
          <w:rPr>
            <w:noProof/>
            <w:webHidden/>
          </w:rPr>
          <w:tab/>
        </w:r>
        <w:r>
          <w:rPr>
            <w:noProof/>
            <w:webHidden/>
          </w:rPr>
          <w:fldChar w:fldCharType="begin"/>
        </w:r>
        <w:r>
          <w:rPr>
            <w:noProof/>
            <w:webHidden/>
          </w:rPr>
          <w:instrText xml:space="preserve"> PAGEREF _Toc110851919 \h </w:instrText>
        </w:r>
        <w:r>
          <w:rPr>
            <w:noProof/>
            <w:webHidden/>
          </w:rPr>
        </w:r>
        <w:r>
          <w:rPr>
            <w:noProof/>
            <w:webHidden/>
          </w:rPr>
          <w:fldChar w:fldCharType="separate"/>
        </w:r>
        <w:r>
          <w:rPr>
            <w:noProof/>
            <w:webHidden/>
          </w:rPr>
          <w:t>12</w:t>
        </w:r>
        <w:r>
          <w:rPr>
            <w:noProof/>
            <w:webHidden/>
          </w:rPr>
          <w:fldChar w:fldCharType="end"/>
        </w:r>
      </w:hyperlink>
    </w:p>
    <w:p w14:paraId="20F18D43" w14:textId="6A811EE9" w:rsidR="00632E13" w:rsidRDefault="00632E13">
      <w:pPr>
        <w:pStyle w:val="TOC2"/>
        <w:tabs>
          <w:tab w:val="right" w:leader="underscore" w:pos="9016"/>
        </w:tabs>
        <w:rPr>
          <w:rFonts w:eastAsiaTheme="minorEastAsia"/>
          <w:noProof/>
          <w:color w:val="auto"/>
          <w:sz w:val="22"/>
          <w:szCs w:val="22"/>
          <w:lang w:eastAsia="en-GB"/>
        </w:rPr>
      </w:pPr>
      <w:hyperlink w:anchor="_Toc110851920" w:history="1">
        <w:r w:rsidRPr="00B924BC">
          <w:rPr>
            <w:rStyle w:val="Hyperlink"/>
            <w:noProof/>
          </w:rPr>
          <w:t>5.3.</w:t>
        </w:r>
        <w:r>
          <w:rPr>
            <w:rFonts w:eastAsiaTheme="minorEastAsia"/>
            <w:noProof/>
            <w:color w:val="auto"/>
            <w:sz w:val="22"/>
            <w:szCs w:val="22"/>
            <w:lang w:eastAsia="en-GB"/>
          </w:rPr>
          <w:tab/>
        </w:r>
        <w:r w:rsidRPr="00B924BC">
          <w:rPr>
            <w:rStyle w:val="Hyperlink"/>
            <w:noProof/>
          </w:rPr>
          <w:t>System Oversight and Assurance Committee (SOAC)</w:t>
        </w:r>
        <w:r>
          <w:rPr>
            <w:noProof/>
            <w:webHidden/>
          </w:rPr>
          <w:tab/>
        </w:r>
        <w:r>
          <w:rPr>
            <w:noProof/>
            <w:webHidden/>
          </w:rPr>
          <w:fldChar w:fldCharType="begin"/>
        </w:r>
        <w:r>
          <w:rPr>
            <w:noProof/>
            <w:webHidden/>
          </w:rPr>
          <w:instrText xml:space="preserve"> PAGEREF _Toc110851920 \h </w:instrText>
        </w:r>
        <w:r>
          <w:rPr>
            <w:noProof/>
            <w:webHidden/>
          </w:rPr>
        </w:r>
        <w:r>
          <w:rPr>
            <w:noProof/>
            <w:webHidden/>
          </w:rPr>
          <w:fldChar w:fldCharType="separate"/>
        </w:r>
        <w:r>
          <w:rPr>
            <w:noProof/>
            <w:webHidden/>
          </w:rPr>
          <w:t>13</w:t>
        </w:r>
        <w:r>
          <w:rPr>
            <w:noProof/>
            <w:webHidden/>
          </w:rPr>
          <w:fldChar w:fldCharType="end"/>
        </w:r>
      </w:hyperlink>
    </w:p>
    <w:p w14:paraId="6DC5002E" w14:textId="7A8204E7" w:rsidR="00632E13" w:rsidRDefault="00632E13">
      <w:pPr>
        <w:pStyle w:val="TOC2"/>
        <w:tabs>
          <w:tab w:val="right" w:leader="underscore" w:pos="9016"/>
        </w:tabs>
        <w:rPr>
          <w:rFonts w:eastAsiaTheme="minorEastAsia"/>
          <w:noProof/>
          <w:color w:val="auto"/>
          <w:sz w:val="22"/>
          <w:szCs w:val="22"/>
          <w:lang w:eastAsia="en-GB"/>
        </w:rPr>
      </w:pPr>
      <w:hyperlink w:anchor="_Toc110851921" w:history="1">
        <w:r w:rsidRPr="00B924BC">
          <w:rPr>
            <w:rStyle w:val="Hyperlink"/>
            <w:noProof/>
          </w:rPr>
          <w:t>5.4.</w:t>
        </w:r>
        <w:r>
          <w:rPr>
            <w:rFonts w:eastAsiaTheme="minorEastAsia"/>
            <w:noProof/>
            <w:color w:val="auto"/>
            <w:sz w:val="22"/>
            <w:szCs w:val="22"/>
            <w:lang w:eastAsia="en-GB"/>
          </w:rPr>
          <w:tab/>
        </w:r>
        <w:r w:rsidRPr="00B924BC">
          <w:rPr>
            <w:rStyle w:val="Hyperlink"/>
            <w:noProof/>
          </w:rPr>
          <w:t>Chief Executive</w:t>
        </w:r>
        <w:r>
          <w:rPr>
            <w:noProof/>
            <w:webHidden/>
          </w:rPr>
          <w:tab/>
        </w:r>
        <w:r>
          <w:rPr>
            <w:noProof/>
            <w:webHidden/>
          </w:rPr>
          <w:fldChar w:fldCharType="begin"/>
        </w:r>
        <w:r>
          <w:rPr>
            <w:noProof/>
            <w:webHidden/>
          </w:rPr>
          <w:instrText xml:space="preserve"> PAGEREF _Toc110851921 \h </w:instrText>
        </w:r>
        <w:r>
          <w:rPr>
            <w:noProof/>
            <w:webHidden/>
          </w:rPr>
        </w:r>
        <w:r>
          <w:rPr>
            <w:noProof/>
            <w:webHidden/>
          </w:rPr>
          <w:fldChar w:fldCharType="separate"/>
        </w:r>
        <w:r>
          <w:rPr>
            <w:noProof/>
            <w:webHidden/>
          </w:rPr>
          <w:t>13</w:t>
        </w:r>
        <w:r>
          <w:rPr>
            <w:noProof/>
            <w:webHidden/>
          </w:rPr>
          <w:fldChar w:fldCharType="end"/>
        </w:r>
      </w:hyperlink>
    </w:p>
    <w:p w14:paraId="39A4D16F" w14:textId="72000383" w:rsidR="00632E13" w:rsidRDefault="00632E13">
      <w:pPr>
        <w:pStyle w:val="TOC2"/>
        <w:tabs>
          <w:tab w:val="right" w:leader="underscore" w:pos="9016"/>
        </w:tabs>
        <w:rPr>
          <w:rFonts w:eastAsiaTheme="minorEastAsia"/>
          <w:noProof/>
          <w:color w:val="auto"/>
          <w:sz w:val="22"/>
          <w:szCs w:val="22"/>
          <w:lang w:eastAsia="en-GB"/>
        </w:rPr>
      </w:pPr>
      <w:hyperlink w:anchor="_Toc110851922" w:history="1">
        <w:r w:rsidRPr="00B924BC">
          <w:rPr>
            <w:rStyle w:val="Hyperlink"/>
            <w:noProof/>
          </w:rPr>
          <w:t>5.5.</w:t>
        </w:r>
        <w:r>
          <w:rPr>
            <w:rFonts w:eastAsiaTheme="minorEastAsia"/>
            <w:noProof/>
            <w:color w:val="auto"/>
            <w:sz w:val="22"/>
            <w:szCs w:val="22"/>
            <w:lang w:eastAsia="en-GB"/>
          </w:rPr>
          <w:tab/>
        </w:r>
        <w:r w:rsidRPr="00B924BC">
          <w:rPr>
            <w:rStyle w:val="Hyperlink"/>
            <w:noProof/>
          </w:rPr>
          <w:t>Chief Nurse</w:t>
        </w:r>
        <w:r>
          <w:rPr>
            <w:noProof/>
            <w:webHidden/>
          </w:rPr>
          <w:tab/>
        </w:r>
        <w:r>
          <w:rPr>
            <w:noProof/>
            <w:webHidden/>
          </w:rPr>
          <w:fldChar w:fldCharType="begin"/>
        </w:r>
        <w:r>
          <w:rPr>
            <w:noProof/>
            <w:webHidden/>
          </w:rPr>
          <w:instrText xml:space="preserve"> PAGEREF _Toc110851922 \h </w:instrText>
        </w:r>
        <w:r>
          <w:rPr>
            <w:noProof/>
            <w:webHidden/>
          </w:rPr>
        </w:r>
        <w:r>
          <w:rPr>
            <w:noProof/>
            <w:webHidden/>
          </w:rPr>
          <w:fldChar w:fldCharType="separate"/>
        </w:r>
        <w:r>
          <w:rPr>
            <w:noProof/>
            <w:webHidden/>
          </w:rPr>
          <w:t>13</w:t>
        </w:r>
        <w:r>
          <w:rPr>
            <w:noProof/>
            <w:webHidden/>
          </w:rPr>
          <w:fldChar w:fldCharType="end"/>
        </w:r>
      </w:hyperlink>
    </w:p>
    <w:p w14:paraId="03035862" w14:textId="49DCE1A7" w:rsidR="00632E13" w:rsidRDefault="00632E13">
      <w:pPr>
        <w:pStyle w:val="TOC2"/>
        <w:tabs>
          <w:tab w:val="right" w:leader="underscore" w:pos="9016"/>
        </w:tabs>
        <w:rPr>
          <w:rFonts w:eastAsiaTheme="minorEastAsia"/>
          <w:noProof/>
          <w:color w:val="auto"/>
          <w:sz w:val="22"/>
          <w:szCs w:val="22"/>
          <w:lang w:eastAsia="en-GB"/>
        </w:rPr>
      </w:pPr>
      <w:hyperlink w:anchor="_Toc110851923" w:history="1">
        <w:r w:rsidRPr="00B924BC">
          <w:rPr>
            <w:rStyle w:val="Hyperlink"/>
            <w:noProof/>
          </w:rPr>
          <w:t>5.6.</w:t>
        </w:r>
        <w:r>
          <w:rPr>
            <w:rFonts w:eastAsiaTheme="minorEastAsia"/>
            <w:noProof/>
            <w:color w:val="auto"/>
            <w:sz w:val="22"/>
            <w:szCs w:val="22"/>
            <w:lang w:eastAsia="en-GB"/>
          </w:rPr>
          <w:tab/>
        </w:r>
        <w:r w:rsidRPr="00B924BC">
          <w:rPr>
            <w:rStyle w:val="Hyperlink"/>
            <w:noProof/>
          </w:rPr>
          <w:t>Policy Authors</w:t>
        </w:r>
        <w:r>
          <w:rPr>
            <w:noProof/>
            <w:webHidden/>
          </w:rPr>
          <w:tab/>
        </w:r>
        <w:r>
          <w:rPr>
            <w:noProof/>
            <w:webHidden/>
          </w:rPr>
          <w:fldChar w:fldCharType="begin"/>
        </w:r>
        <w:r>
          <w:rPr>
            <w:noProof/>
            <w:webHidden/>
          </w:rPr>
          <w:instrText xml:space="preserve"> PAGEREF _Toc110851923 \h </w:instrText>
        </w:r>
        <w:r>
          <w:rPr>
            <w:noProof/>
            <w:webHidden/>
          </w:rPr>
        </w:r>
        <w:r>
          <w:rPr>
            <w:noProof/>
            <w:webHidden/>
          </w:rPr>
          <w:fldChar w:fldCharType="separate"/>
        </w:r>
        <w:r>
          <w:rPr>
            <w:noProof/>
            <w:webHidden/>
          </w:rPr>
          <w:t>13</w:t>
        </w:r>
        <w:r>
          <w:rPr>
            <w:noProof/>
            <w:webHidden/>
          </w:rPr>
          <w:fldChar w:fldCharType="end"/>
        </w:r>
      </w:hyperlink>
    </w:p>
    <w:p w14:paraId="32625EE6" w14:textId="52A4369D" w:rsidR="00632E13" w:rsidRDefault="00632E13">
      <w:pPr>
        <w:pStyle w:val="TOC2"/>
        <w:tabs>
          <w:tab w:val="right" w:leader="underscore" w:pos="9016"/>
        </w:tabs>
        <w:rPr>
          <w:rFonts w:eastAsiaTheme="minorEastAsia"/>
          <w:noProof/>
          <w:color w:val="auto"/>
          <w:sz w:val="22"/>
          <w:szCs w:val="22"/>
          <w:lang w:eastAsia="en-GB"/>
        </w:rPr>
      </w:pPr>
      <w:hyperlink w:anchor="_Toc110851924" w:history="1">
        <w:r w:rsidRPr="00B924BC">
          <w:rPr>
            <w:rStyle w:val="Hyperlink"/>
            <w:noProof/>
          </w:rPr>
          <w:t>5.7.</w:t>
        </w:r>
        <w:r>
          <w:rPr>
            <w:rFonts w:eastAsiaTheme="minorEastAsia"/>
            <w:noProof/>
            <w:color w:val="auto"/>
            <w:sz w:val="22"/>
            <w:szCs w:val="22"/>
            <w:lang w:eastAsia="en-GB"/>
          </w:rPr>
          <w:tab/>
        </w:r>
        <w:r w:rsidRPr="00B924BC">
          <w:rPr>
            <w:rStyle w:val="Hyperlink"/>
            <w:noProof/>
          </w:rPr>
          <w:t>Arden and GEM Commissioning Support Unit (AGEMCSU)</w:t>
        </w:r>
        <w:r>
          <w:rPr>
            <w:noProof/>
            <w:webHidden/>
          </w:rPr>
          <w:tab/>
        </w:r>
        <w:r>
          <w:rPr>
            <w:noProof/>
            <w:webHidden/>
          </w:rPr>
          <w:fldChar w:fldCharType="begin"/>
        </w:r>
        <w:r>
          <w:rPr>
            <w:noProof/>
            <w:webHidden/>
          </w:rPr>
          <w:instrText xml:space="preserve"> PAGEREF _Toc110851924 \h </w:instrText>
        </w:r>
        <w:r>
          <w:rPr>
            <w:noProof/>
            <w:webHidden/>
          </w:rPr>
        </w:r>
        <w:r>
          <w:rPr>
            <w:noProof/>
            <w:webHidden/>
          </w:rPr>
          <w:fldChar w:fldCharType="separate"/>
        </w:r>
        <w:r>
          <w:rPr>
            <w:noProof/>
            <w:webHidden/>
          </w:rPr>
          <w:t>13</w:t>
        </w:r>
        <w:r>
          <w:rPr>
            <w:noProof/>
            <w:webHidden/>
          </w:rPr>
          <w:fldChar w:fldCharType="end"/>
        </w:r>
      </w:hyperlink>
    </w:p>
    <w:p w14:paraId="02DF7959" w14:textId="61EAAD43" w:rsidR="00632E13" w:rsidRDefault="00632E13">
      <w:pPr>
        <w:pStyle w:val="TOC2"/>
        <w:tabs>
          <w:tab w:val="right" w:leader="underscore" w:pos="9016"/>
        </w:tabs>
        <w:rPr>
          <w:rFonts w:eastAsiaTheme="minorEastAsia"/>
          <w:noProof/>
          <w:color w:val="auto"/>
          <w:sz w:val="22"/>
          <w:szCs w:val="22"/>
          <w:lang w:eastAsia="en-GB"/>
        </w:rPr>
      </w:pPr>
      <w:hyperlink w:anchor="_Toc110851925" w:history="1">
        <w:r w:rsidRPr="00B924BC">
          <w:rPr>
            <w:rStyle w:val="Hyperlink"/>
            <w:noProof/>
          </w:rPr>
          <w:t>5.8.</w:t>
        </w:r>
        <w:r>
          <w:rPr>
            <w:rFonts w:eastAsiaTheme="minorEastAsia"/>
            <w:noProof/>
            <w:color w:val="auto"/>
            <w:sz w:val="22"/>
            <w:szCs w:val="22"/>
            <w:lang w:eastAsia="en-GB"/>
          </w:rPr>
          <w:tab/>
        </w:r>
        <w:r w:rsidRPr="00B924BC">
          <w:rPr>
            <w:rStyle w:val="Hyperlink"/>
            <w:noProof/>
          </w:rPr>
          <w:t>Governance Lead</w:t>
        </w:r>
        <w:r>
          <w:rPr>
            <w:noProof/>
            <w:webHidden/>
          </w:rPr>
          <w:tab/>
        </w:r>
        <w:r>
          <w:rPr>
            <w:noProof/>
            <w:webHidden/>
          </w:rPr>
          <w:fldChar w:fldCharType="begin"/>
        </w:r>
        <w:r>
          <w:rPr>
            <w:noProof/>
            <w:webHidden/>
          </w:rPr>
          <w:instrText xml:space="preserve"> PAGEREF _Toc110851925 \h </w:instrText>
        </w:r>
        <w:r>
          <w:rPr>
            <w:noProof/>
            <w:webHidden/>
          </w:rPr>
        </w:r>
        <w:r>
          <w:rPr>
            <w:noProof/>
            <w:webHidden/>
          </w:rPr>
          <w:fldChar w:fldCharType="separate"/>
        </w:r>
        <w:r>
          <w:rPr>
            <w:noProof/>
            <w:webHidden/>
          </w:rPr>
          <w:t>13</w:t>
        </w:r>
        <w:r>
          <w:rPr>
            <w:noProof/>
            <w:webHidden/>
          </w:rPr>
          <w:fldChar w:fldCharType="end"/>
        </w:r>
      </w:hyperlink>
    </w:p>
    <w:p w14:paraId="523F0301" w14:textId="30EB49E2" w:rsidR="00632E13" w:rsidRDefault="00632E13">
      <w:pPr>
        <w:pStyle w:val="TOC2"/>
        <w:tabs>
          <w:tab w:val="right" w:leader="underscore" w:pos="9016"/>
        </w:tabs>
        <w:rPr>
          <w:rFonts w:eastAsiaTheme="minorEastAsia"/>
          <w:noProof/>
          <w:color w:val="auto"/>
          <w:sz w:val="22"/>
          <w:szCs w:val="22"/>
          <w:lang w:eastAsia="en-GB"/>
        </w:rPr>
      </w:pPr>
      <w:hyperlink w:anchor="_Toc110851926" w:history="1">
        <w:r w:rsidRPr="00B924BC">
          <w:rPr>
            <w:rStyle w:val="Hyperlink"/>
            <w:noProof/>
          </w:rPr>
          <w:t>5.9.</w:t>
        </w:r>
        <w:r>
          <w:rPr>
            <w:rFonts w:eastAsiaTheme="minorEastAsia"/>
            <w:noProof/>
            <w:color w:val="auto"/>
            <w:sz w:val="22"/>
            <w:szCs w:val="22"/>
            <w:lang w:eastAsia="en-GB"/>
          </w:rPr>
          <w:tab/>
        </w:r>
        <w:r w:rsidRPr="00B924BC">
          <w:rPr>
            <w:rStyle w:val="Hyperlink"/>
            <w:noProof/>
          </w:rPr>
          <w:t>Line Managers</w:t>
        </w:r>
        <w:r>
          <w:rPr>
            <w:noProof/>
            <w:webHidden/>
          </w:rPr>
          <w:tab/>
        </w:r>
        <w:r>
          <w:rPr>
            <w:noProof/>
            <w:webHidden/>
          </w:rPr>
          <w:fldChar w:fldCharType="begin"/>
        </w:r>
        <w:r>
          <w:rPr>
            <w:noProof/>
            <w:webHidden/>
          </w:rPr>
          <w:instrText xml:space="preserve"> PAGEREF _Toc110851926 \h </w:instrText>
        </w:r>
        <w:r>
          <w:rPr>
            <w:noProof/>
            <w:webHidden/>
          </w:rPr>
        </w:r>
        <w:r>
          <w:rPr>
            <w:noProof/>
            <w:webHidden/>
          </w:rPr>
          <w:fldChar w:fldCharType="separate"/>
        </w:r>
        <w:r>
          <w:rPr>
            <w:noProof/>
            <w:webHidden/>
          </w:rPr>
          <w:t>13</w:t>
        </w:r>
        <w:r>
          <w:rPr>
            <w:noProof/>
            <w:webHidden/>
          </w:rPr>
          <w:fldChar w:fldCharType="end"/>
        </w:r>
      </w:hyperlink>
    </w:p>
    <w:p w14:paraId="566315A1" w14:textId="57A8B0D0" w:rsidR="00632E13" w:rsidRDefault="00632E13">
      <w:pPr>
        <w:pStyle w:val="TOC2"/>
        <w:tabs>
          <w:tab w:val="right" w:leader="underscore" w:pos="9016"/>
        </w:tabs>
        <w:rPr>
          <w:rFonts w:eastAsiaTheme="minorEastAsia"/>
          <w:noProof/>
          <w:color w:val="auto"/>
          <w:sz w:val="22"/>
          <w:szCs w:val="22"/>
          <w:lang w:eastAsia="en-GB"/>
        </w:rPr>
      </w:pPr>
      <w:hyperlink w:anchor="_Toc110851927" w:history="1">
        <w:r w:rsidRPr="00B924BC">
          <w:rPr>
            <w:rStyle w:val="Hyperlink"/>
            <w:noProof/>
          </w:rPr>
          <w:t>5.10.</w:t>
        </w:r>
        <w:r>
          <w:rPr>
            <w:rFonts w:eastAsiaTheme="minorEastAsia"/>
            <w:noProof/>
            <w:color w:val="auto"/>
            <w:sz w:val="22"/>
            <w:szCs w:val="22"/>
            <w:lang w:eastAsia="en-GB"/>
          </w:rPr>
          <w:tab/>
        </w:r>
        <w:r w:rsidRPr="00B924BC">
          <w:rPr>
            <w:rStyle w:val="Hyperlink"/>
            <w:noProof/>
          </w:rPr>
          <w:t>All Staff</w:t>
        </w:r>
        <w:r>
          <w:rPr>
            <w:noProof/>
            <w:webHidden/>
          </w:rPr>
          <w:tab/>
        </w:r>
        <w:r>
          <w:rPr>
            <w:noProof/>
            <w:webHidden/>
          </w:rPr>
          <w:fldChar w:fldCharType="begin"/>
        </w:r>
        <w:r>
          <w:rPr>
            <w:noProof/>
            <w:webHidden/>
          </w:rPr>
          <w:instrText xml:space="preserve"> PAGEREF _Toc110851927 \h </w:instrText>
        </w:r>
        <w:r>
          <w:rPr>
            <w:noProof/>
            <w:webHidden/>
          </w:rPr>
        </w:r>
        <w:r>
          <w:rPr>
            <w:noProof/>
            <w:webHidden/>
          </w:rPr>
          <w:fldChar w:fldCharType="separate"/>
        </w:r>
        <w:r>
          <w:rPr>
            <w:noProof/>
            <w:webHidden/>
          </w:rPr>
          <w:t>14</w:t>
        </w:r>
        <w:r>
          <w:rPr>
            <w:noProof/>
            <w:webHidden/>
          </w:rPr>
          <w:fldChar w:fldCharType="end"/>
        </w:r>
      </w:hyperlink>
    </w:p>
    <w:p w14:paraId="3241B148" w14:textId="527DABFA" w:rsidR="00632E13" w:rsidRDefault="00632E13">
      <w:pPr>
        <w:pStyle w:val="TOC1"/>
        <w:rPr>
          <w:rFonts w:eastAsiaTheme="minorEastAsia"/>
          <w:b w:val="0"/>
          <w:noProof/>
          <w:color w:val="auto"/>
          <w:sz w:val="22"/>
          <w:szCs w:val="22"/>
          <w:lang w:eastAsia="en-GB"/>
        </w:rPr>
      </w:pPr>
      <w:hyperlink w:anchor="_Toc110851928" w:history="1">
        <w:r w:rsidRPr="00B924BC">
          <w:rPr>
            <w:rStyle w:val="Hyperlink"/>
            <w:noProof/>
          </w:rPr>
          <w:t>6.</w:t>
        </w:r>
        <w:r>
          <w:rPr>
            <w:rFonts w:eastAsiaTheme="minorEastAsia"/>
            <w:b w:val="0"/>
            <w:noProof/>
            <w:color w:val="auto"/>
            <w:sz w:val="22"/>
            <w:szCs w:val="22"/>
            <w:lang w:eastAsia="en-GB"/>
          </w:rPr>
          <w:tab/>
        </w:r>
        <w:r w:rsidRPr="00B924BC">
          <w:rPr>
            <w:rStyle w:val="Hyperlink"/>
            <w:noProof/>
          </w:rPr>
          <w:t>Policy Detail</w:t>
        </w:r>
        <w:r>
          <w:rPr>
            <w:noProof/>
            <w:webHidden/>
          </w:rPr>
          <w:tab/>
        </w:r>
        <w:r>
          <w:rPr>
            <w:noProof/>
            <w:webHidden/>
          </w:rPr>
          <w:fldChar w:fldCharType="begin"/>
        </w:r>
        <w:r>
          <w:rPr>
            <w:noProof/>
            <w:webHidden/>
          </w:rPr>
          <w:instrText xml:space="preserve"> PAGEREF _Toc110851928 \h </w:instrText>
        </w:r>
        <w:r>
          <w:rPr>
            <w:noProof/>
            <w:webHidden/>
          </w:rPr>
        </w:r>
        <w:r>
          <w:rPr>
            <w:noProof/>
            <w:webHidden/>
          </w:rPr>
          <w:fldChar w:fldCharType="separate"/>
        </w:r>
        <w:r>
          <w:rPr>
            <w:noProof/>
            <w:webHidden/>
          </w:rPr>
          <w:t>14</w:t>
        </w:r>
        <w:r>
          <w:rPr>
            <w:noProof/>
            <w:webHidden/>
          </w:rPr>
          <w:fldChar w:fldCharType="end"/>
        </w:r>
      </w:hyperlink>
    </w:p>
    <w:p w14:paraId="1D3AF14C" w14:textId="30376AB4" w:rsidR="00632E13" w:rsidRDefault="00632E13">
      <w:pPr>
        <w:pStyle w:val="TOC1"/>
        <w:rPr>
          <w:rFonts w:eastAsiaTheme="minorEastAsia"/>
          <w:b w:val="0"/>
          <w:noProof/>
          <w:color w:val="auto"/>
          <w:sz w:val="22"/>
          <w:szCs w:val="22"/>
          <w:lang w:eastAsia="en-GB"/>
        </w:rPr>
      </w:pPr>
      <w:hyperlink w:anchor="_Toc110851929" w:history="1">
        <w:r w:rsidRPr="00B924BC">
          <w:rPr>
            <w:rStyle w:val="Hyperlink"/>
            <w:noProof/>
          </w:rPr>
          <w:t>Enablers (6.1-6.9)</w:t>
        </w:r>
        <w:r>
          <w:rPr>
            <w:noProof/>
            <w:webHidden/>
          </w:rPr>
          <w:tab/>
        </w:r>
        <w:r>
          <w:rPr>
            <w:noProof/>
            <w:webHidden/>
          </w:rPr>
          <w:fldChar w:fldCharType="begin"/>
        </w:r>
        <w:r>
          <w:rPr>
            <w:noProof/>
            <w:webHidden/>
          </w:rPr>
          <w:instrText xml:space="preserve"> PAGEREF _Toc110851929 \h </w:instrText>
        </w:r>
        <w:r>
          <w:rPr>
            <w:noProof/>
            <w:webHidden/>
          </w:rPr>
        </w:r>
        <w:r>
          <w:rPr>
            <w:noProof/>
            <w:webHidden/>
          </w:rPr>
          <w:fldChar w:fldCharType="separate"/>
        </w:r>
        <w:r>
          <w:rPr>
            <w:noProof/>
            <w:webHidden/>
          </w:rPr>
          <w:t>14</w:t>
        </w:r>
        <w:r>
          <w:rPr>
            <w:noProof/>
            <w:webHidden/>
          </w:rPr>
          <w:fldChar w:fldCharType="end"/>
        </w:r>
      </w:hyperlink>
    </w:p>
    <w:p w14:paraId="7947B7CA" w14:textId="0F63B94C" w:rsidR="00632E13" w:rsidRDefault="00632E13">
      <w:pPr>
        <w:pStyle w:val="TOC2"/>
        <w:tabs>
          <w:tab w:val="right" w:leader="underscore" w:pos="9016"/>
        </w:tabs>
        <w:rPr>
          <w:rFonts w:eastAsiaTheme="minorEastAsia"/>
          <w:noProof/>
          <w:color w:val="auto"/>
          <w:sz w:val="22"/>
          <w:szCs w:val="22"/>
          <w:lang w:eastAsia="en-GB"/>
        </w:rPr>
      </w:pPr>
      <w:hyperlink w:anchor="_Toc110851930" w:history="1">
        <w:r w:rsidRPr="00B924BC">
          <w:rPr>
            <w:rStyle w:val="Hyperlink"/>
            <w:noProof/>
          </w:rPr>
          <w:t>6.1.</w:t>
        </w:r>
        <w:r>
          <w:rPr>
            <w:rFonts w:eastAsiaTheme="minorEastAsia"/>
            <w:noProof/>
            <w:color w:val="auto"/>
            <w:sz w:val="22"/>
            <w:szCs w:val="22"/>
            <w:lang w:eastAsia="en-GB"/>
          </w:rPr>
          <w:tab/>
        </w:r>
        <w:r w:rsidRPr="00B924BC">
          <w:rPr>
            <w:rStyle w:val="Hyperlink"/>
            <w:noProof/>
          </w:rPr>
          <w:t>Strategy and Leadership</w:t>
        </w:r>
        <w:r>
          <w:rPr>
            <w:noProof/>
            <w:webHidden/>
          </w:rPr>
          <w:tab/>
        </w:r>
        <w:r>
          <w:rPr>
            <w:noProof/>
            <w:webHidden/>
          </w:rPr>
          <w:fldChar w:fldCharType="begin"/>
        </w:r>
        <w:r>
          <w:rPr>
            <w:noProof/>
            <w:webHidden/>
          </w:rPr>
          <w:instrText xml:space="preserve"> PAGEREF _Toc110851930 \h </w:instrText>
        </w:r>
        <w:r>
          <w:rPr>
            <w:noProof/>
            <w:webHidden/>
          </w:rPr>
        </w:r>
        <w:r>
          <w:rPr>
            <w:noProof/>
            <w:webHidden/>
          </w:rPr>
          <w:fldChar w:fldCharType="separate"/>
        </w:r>
        <w:r>
          <w:rPr>
            <w:noProof/>
            <w:webHidden/>
          </w:rPr>
          <w:t>14</w:t>
        </w:r>
        <w:r>
          <w:rPr>
            <w:noProof/>
            <w:webHidden/>
          </w:rPr>
          <w:fldChar w:fldCharType="end"/>
        </w:r>
      </w:hyperlink>
    </w:p>
    <w:p w14:paraId="4F62AFA7" w14:textId="25B0FA15" w:rsidR="00632E13" w:rsidRDefault="00632E13">
      <w:pPr>
        <w:pStyle w:val="TOC2"/>
        <w:tabs>
          <w:tab w:val="right" w:leader="underscore" w:pos="9016"/>
        </w:tabs>
        <w:rPr>
          <w:rFonts w:eastAsiaTheme="minorEastAsia"/>
          <w:noProof/>
          <w:color w:val="auto"/>
          <w:sz w:val="22"/>
          <w:szCs w:val="22"/>
          <w:lang w:eastAsia="en-GB"/>
        </w:rPr>
      </w:pPr>
      <w:hyperlink w:anchor="_Toc110851931" w:history="1">
        <w:r w:rsidRPr="00B924BC">
          <w:rPr>
            <w:rStyle w:val="Hyperlink"/>
            <w:noProof/>
          </w:rPr>
          <w:t>6.2.</w:t>
        </w:r>
        <w:r>
          <w:rPr>
            <w:rFonts w:eastAsiaTheme="minorEastAsia"/>
            <w:noProof/>
            <w:color w:val="auto"/>
            <w:sz w:val="22"/>
            <w:szCs w:val="22"/>
            <w:lang w:eastAsia="en-GB"/>
          </w:rPr>
          <w:tab/>
        </w:r>
        <w:r w:rsidRPr="00B924BC">
          <w:rPr>
            <w:rStyle w:val="Hyperlink"/>
            <w:noProof/>
          </w:rPr>
          <w:t>Individuals and Families</w:t>
        </w:r>
        <w:r>
          <w:rPr>
            <w:noProof/>
            <w:webHidden/>
          </w:rPr>
          <w:tab/>
        </w:r>
        <w:r>
          <w:rPr>
            <w:noProof/>
            <w:webHidden/>
          </w:rPr>
          <w:fldChar w:fldCharType="begin"/>
        </w:r>
        <w:r>
          <w:rPr>
            <w:noProof/>
            <w:webHidden/>
          </w:rPr>
          <w:instrText xml:space="preserve"> PAGEREF _Toc110851931 \h </w:instrText>
        </w:r>
        <w:r>
          <w:rPr>
            <w:noProof/>
            <w:webHidden/>
          </w:rPr>
        </w:r>
        <w:r>
          <w:rPr>
            <w:noProof/>
            <w:webHidden/>
          </w:rPr>
          <w:fldChar w:fldCharType="separate"/>
        </w:r>
        <w:r>
          <w:rPr>
            <w:noProof/>
            <w:webHidden/>
          </w:rPr>
          <w:t>15</w:t>
        </w:r>
        <w:r>
          <w:rPr>
            <w:noProof/>
            <w:webHidden/>
          </w:rPr>
          <w:fldChar w:fldCharType="end"/>
        </w:r>
      </w:hyperlink>
    </w:p>
    <w:p w14:paraId="17F96978" w14:textId="649A4B68" w:rsidR="00632E13" w:rsidRDefault="00632E13">
      <w:pPr>
        <w:pStyle w:val="TOC2"/>
        <w:tabs>
          <w:tab w:val="right" w:leader="underscore" w:pos="9016"/>
        </w:tabs>
        <w:rPr>
          <w:rFonts w:eastAsiaTheme="minorEastAsia"/>
          <w:noProof/>
          <w:color w:val="auto"/>
          <w:sz w:val="22"/>
          <w:szCs w:val="22"/>
          <w:lang w:eastAsia="en-GB"/>
        </w:rPr>
      </w:pPr>
      <w:hyperlink w:anchor="_Toc110851932" w:history="1">
        <w:r w:rsidRPr="00B924BC">
          <w:rPr>
            <w:rStyle w:val="Hyperlink"/>
            <w:rFonts w:cstheme="minorHAnsi"/>
            <w:noProof/>
          </w:rPr>
          <w:t>6.3.</w:t>
        </w:r>
        <w:r>
          <w:rPr>
            <w:rFonts w:eastAsiaTheme="minorEastAsia"/>
            <w:noProof/>
            <w:color w:val="auto"/>
            <w:sz w:val="22"/>
            <w:szCs w:val="22"/>
            <w:lang w:eastAsia="en-GB"/>
          </w:rPr>
          <w:tab/>
        </w:r>
        <w:r w:rsidRPr="00B924BC">
          <w:rPr>
            <w:rStyle w:val="Hyperlink"/>
            <w:rFonts w:cstheme="minorHAnsi"/>
            <w:noProof/>
          </w:rPr>
          <w:t>Zero Tolerance</w:t>
        </w:r>
        <w:r>
          <w:rPr>
            <w:noProof/>
            <w:webHidden/>
          </w:rPr>
          <w:tab/>
        </w:r>
        <w:r>
          <w:rPr>
            <w:noProof/>
            <w:webHidden/>
          </w:rPr>
          <w:fldChar w:fldCharType="begin"/>
        </w:r>
        <w:r>
          <w:rPr>
            <w:noProof/>
            <w:webHidden/>
          </w:rPr>
          <w:instrText xml:space="preserve"> PAGEREF _Toc110851932 \h </w:instrText>
        </w:r>
        <w:r>
          <w:rPr>
            <w:noProof/>
            <w:webHidden/>
          </w:rPr>
        </w:r>
        <w:r>
          <w:rPr>
            <w:noProof/>
            <w:webHidden/>
          </w:rPr>
          <w:fldChar w:fldCharType="separate"/>
        </w:r>
        <w:r>
          <w:rPr>
            <w:noProof/>
            <w:webHidden/>
          </w:rPr>
          <w:t>16</w:t>
        </w:r>
        <w:r>
          <w:rPr>
            <w:noProof/>
            <w:webHidden/>
          </w:rPr>
          <w:fldChar w:fldCharType="end"/>
        </w:r>
      </w:hyperlink>
    </w:p>
    <w:p w14:paraId="564FE53A" w14:textId="65B40062" w:rsidR="00632E13" w:rsidRDefault="00632E13">
      <w:pPr>
        <w:pStyle w:val="TOC2"/>
        <w:tabs>
          <w:tab w:val="right" w:leader="underscore" w:pos="9016"/>
        </w:tabs>
        <w:rPr>
          <w:rFonts w:eastAsiaTheme="minorEastAsia"/>
          <w:noProof/>
          <w:color w:val="auto"/>
          <w:sz w:val="22"/>
          <w:szCs w:val="22"/>
          <w:lang w:eastAsia="en-GB"/>
        </w:rPr>
      </w:pPr>
      <w:hyperlink w:anchor="_Toc110851933" w:history="1">
        <w:r w:rsidRPr="00B924BC">
          <w:rPr>
            <w:rStyle w:val="Hyperlink"/>
            <w:noProof/>
          </w:rPr>
          <w:t>6.4.</w:t>
        </w:r>
        <w:r>
          <w:rPr>
            <w:rFonts w:eastAsiaTheme="minorEastAsia"/>
            <w:noProof/>
            <w:color w:val="auto"/>
            <w:sz w:val="22"/>
            <w:szCs w:val="22"/>
            <w:lang w:eastAsia="en-GB"/>
          </w:rPr>
          <w:tab/>
        </w:r>
        <w:r w:rsidRPr="00B924BC">
          <w:rPr>
            <w:rStyle w:val="Hyperlink"/>
            <w:noProof/>
          </w:rPr>
          <w:t>People and Skills</w:t>
        </w:r>
        <w:r>
          <w:rPr>
            <w:noProof/>
            <w:webHidden/>
          </w:rPr>
          <w:tab/>
        </w:r>
        <w:r>
          <w:rPr>
            <w:noProof/>
            <w:webHidden/>
          </w:rPr>
          <w:fldChar w:fldCharType="begin"/>
        </w:r>
        <w:r>
          <w:rPr>
            <w:noProof/>
            <w:webHidden/>
          </w:rPr>
          <w:instrText xml:space="preserve"> PAGEREF _Toc110851933 \h </w:instrText>
        </w:r>
        <w:r>
          <w:rPr>
            <w:noProof/>
            <w:webHidden/>
          </w:rPr>
        </w:r>
        <w:r>
          <w:rPr>
            <w:noProof/>
            <w:webHidden/>
          </w:rPr>
          <w:fldChar w:fldCharType="separate"/>
        </w:r>
        <w:r>
          <w:rPr>
            <w:noProof/>
            <w:webHidden/>
          </w:rPr>
          <w:t>16</w:t>
        </w:r>
        <w:r>
          <w:rPr>
            <w:noProof/>
            <w:webHidden/>
          </w:rPr>
          <w:fldChar w:fldCharType="end"/>
        </w:r>
      </w:hyperlink>
    </w:p>
    <w:p w14:paraId="5219CA98" w14:textId="2DB25D29" w:rsidR="00632E13" w:rsidRDefault="00632E13">
      <w:pPr>
        <w:pStyle w:val="TOC2"/>
        <w:tabs>
          <w:tab w:val="right" w:leader="underscore" w:pos="9016"/>
        </w:tabs>
        <w:rPr>
          <w:rFonts w:eastAsiaTheme="minorEastAsia"/>
          <w:noProof/>
          <w:color w:val="auto"/>
          <w:sz w:val="22"/>
          <w:szCs w:val="22"/>
          <w:lang w:eastAsia="en-GB"/>
        </w:rPr>
      </w:pPr>
      <w:hyperlink w:anchor="_Toc110851934" w:history="1">
        <w:r w:rsidRPr="00B924BC">
          <w:rPr>
            <w:rStyle w:val="Hyperlink"/>
            <w:noProof/>
          </w:rPr>
          <w:t>6.5.</w:t>
        </w:r>
        <w:r>
          <w:rPr>
            <w:rFonts w:eastAsiaTheme="minorEastAsia"/>
            <w:noProof/>
            <w:color w:val="auto"/>
            <w:sz w:val="22"/>
            <w:szCs w:val="22"/>
            <w:lang w:eastAsia="en-GB"/>
          </w:rPr>
          <w:tab/>
        </w:r>
        <w:r w:rsidRPr="00B924BC">
          <w:rPr>
            <w:rStyle w:val="Hyperlink"/>
            <w:noProof/>
          </w:rPr>
          <w:t>Governance</w:t>
        </w:r>
        <w:r>
          <w:rPr>
            <w:noProof/>
            <w:webHidden/>
          </w:rPr>
          <w:tab/>
        </w:r>
        <w:r>
          <w:rPr>
            <w:noProof/>
            <w:webHidden/>
          </w:rPr>
          <w:fldChar w:fldCharType="begin"/>
        </w:r>
        <w:r>
          <w:rPr>
            <w:noProof/>
            <w:webHidden/>
          </w:rPr>
          <w:instrText xml:space="preserve"> PAGEREF _Toc110851934 \h </w:instrText>
        </w:r>
        <w:r>
          <w:rPr>
            <w:noProof/>
            <w:webHidden/>
          </w:rPr>
        </w:r>
        <w:r>
          <w:rPr>
            <w:noProof/>
            <w:webHidden/>
          </w:rPr>
          <w:fldChar w:fldCharType="separate"/>
        </w:r>
        <w:r>
          <w:rPr>
            <w:noProof/>
            <w:webHidden/>
          </w:rPr>
          <w:t>18</w:t>
        </w:r>
        <w:r>
          <w:rPr>
            <w:noProof/>
            <w:webHidden/>
          </w:rPr>
          <w:fldChar w:fldCharType="end"/>
        </w:r>
      </w:hyperlink>
    </w:p>
    <w:p w14:paraId="427E11F8" w14:textId="5BFF8392" w:rsidR="00632E13" w:rsidRDefault="00632E13">
      <w:pPr>
        <w:pStyle w:val="TOC2"/>
        <w:tabs>
          <w:tab w:val="right" w:leader="underscore" w:pos="9016"/>
        </w:tabs>
        <w:rPr>
          <w:rFonts w:eastAsiaTheme="minorEastAsia"/>
          <w:noProof/>
          <w:color w:val="auto"/>
          <w:sz w:val="22"/>
          <w:szCs w:val="22"/>
          <w:lang w:eastAsia="en-GB"/>
        </w:rPr>
      </w:pPr>
      <w:hyperlink w:anchor="_Toc110851935" w:history="1">
        <w:r w:rsidRPr="00B924BC">
          <w:rPr>
            <w:rStyle w:val="Hyperlink"/>
            <w:noProof/>
          </w:rPr>
          <w:t>6.6.</w:t>
        </w:r>
        <w:r>
          <w:rPr>
            <w:rFonts w:eastAsiaTheme="minorEastAsia"/>
            <w:noProof/>
            <w:color w:val="auto"/>
            <w:sz w:val="22"/>
            <w:szCs w:val="22"/>
            <w:lang w:eastAsia="en-GB"/>
          </w:rPr>
          <w:tab/>
        </w:r>
        <w:r w:rsidRPr="00B924BC">
          <w:rPr>
            <w:rStyle w:val="Hyperlink"/>
            <w:noProof/>
          </w:rPr>
          <w:t>Technology and Systems</w:t>
        </w:r>
        <w:r>
          <w:rPr>
            <w:noProof/>
            <w:webHidden/>
          </w:rPr>
          <w:tab/>
        </w:r>
        <w:r>
          <w:rPr>
            <w:noProof/>
            <w:webHidden/>
          </w:rPr>
          <w:fldChar w:fldCharType="begin"/>
        </w:r>
        <w:r>
          <w:rPr>
            <w:noProof/>
            <w:webHidden/>
          </w:rPr>
          <w:instrText xml:space="preserve"> PAGEREF _Toc110851935 \h </w:instrText>
        </w:r>
        <w:r>
          <w:rPr>
            <w:noProof/>
            <w:webHidden/>
          </w:rPr>
        </w:r>
        <w:r>
          <w:rPr>
            <w:noProof/>
            <w:webHidden/>
          </w:rPr>
          <w:fldChar w:fldCharType="separate"/>
        </w:r>
        <w:r>
          <w:rPr>
            <w:noProof/>
            <w:webHidden/>
          </w:rPr>
          <w:t>19</w:t>
        </w:r>
        <w:r>
          <w:rPr>
            <w:noProof/>
            <w:webHidden/>
          </w:rPr>
          <w:fldChar w:fldCharType="end"/>
        </w:r>
      </w:hyperlink>
    </w:p>
    <w:p w14:paraId="79842E62" w14:textId="78F4A40E" w:rsidR="00632E13" w:rsidRDefault="00632E13">
      <w:pPr>
        <w:pStyle w:val="TOC2"/>
        <w:tabs>
          <w:tab w:val="right" w:leader="underscore" w:pos="9016"/>
        </w:tabs>
        <w:rPr>
          <w:rFonts w:eastAsiaTheme="minorEastAsia"/>
          <w:noProof/>
          <w:color w:val="auto"/>
          <w:sz w:val="22"/>
          <w:szCs w:val="22"/>
          <w:lang w:eastAsia="en-GB"/>
        </w:rPr>
      </w:pPr>
      <w:hyperlink w:anchor="_Toc110851936" w:history="1">
        <w:r w:rsidRPr="00B924BC">
          <w:rPr>
            <w:rStyle w:val="Hyperlink"/>
            <w:noProof/>
          </w:rPr>
          <w:t>6.7.</w:t>
        </w:r>
        <w:r>
          <w:rPr>
            <w:rFonts w:eastAsiaTheme="minorEastAsia"/>
            <w:noProof/>
            <w:color w:val="auto"/>
            <w:sz w:val="22"/>
            <w:szCs w:val="22"/>
            <w:lang w:eastAsia="en-GB"/>
          </w:rPr>
          <w:tab/>
        </w:r>
        <w:r w:rsidRPr="00B924BC">
          <w:rPr>
            <w:rStyle w:val="Hyperlink"/>
            <w:noProof/>
          </w:rPr>
          <w:t>Data and Information</w:t>
        </w:r>
        <w:r>
          <w:rPr>
            <w:noProof/>
            <w:webHidden/>
          </w:rPr>
          <w:tab/>
        </w:r>
        <w:r>
          <w:rPr>
            <w:noProof/>
            <w:webHidden/>
          </w:rPr>
          <w:fldChar w:fldCharType="begin"/>
        </w:r>
        <w:r>
          <w:rPr>
            <w:noProof/>
            <w:webHidden/>
          </w:rPr>
          <w:instrText xml:space="preserve"> PAGEREF _Toc110851936 \h </w:instrText>
        </w:r>
        <w:r>
          <w:rPr>
            <w:noProof/>
            <w:webHidden/>
          </w:rPr>
        </w:r>
        <w:r>
          <w:rPr>
            <w:noProof/>
            <w:webHidden/>
          </w:rPr>
          <w:fldChar w:fldCharType="separate"/>
        </w:r>
        <w:r>
          <w:rPr>
            <w:noProof/>
            <w:webHidden/>
          </w:rPr>
          <w:t>20</w:t>
        </w:r>
        <w:r>
          <w:rPr>
            <w:noProof/>
            <w:webHidden/>
          </w:rPr>
          <w:fldChar w:fldCharType="end"/>
        </w:r>
      </w:hyperlink>
    </w:p>
    <w:p w14:paraId="5EF456E4" w14:textId="47F268BB" w:rsidR="00632E13" w:rsidRDefault="00632E13">
      <w:pPr>
        <w:pStyle w:val="TOC2"/>
        <w:tabs>
          <w:tab w:val="right" w:leader="underscore" w:pos="9016"/>
        </w:tabs>
        <w:rPr>
          <w:rFonts w:eastAsiaTheme="minorEastAsia"/>
          <w:noProof/>
          <w:color w:val="auto"/>
          <w:sz w:val="22"/>
          <w:szCs w:val="22"/>
          <w:lang w:eastAsia="en-GB"/>
        </w:rPr>
      </w:pPr>
      <w:hyperlink w:anchor="_Toc110851937" w:history="1">
        <w:r w:rsidRPr="00B924BC">
          <w:rPr>
            <w:rStyle w:val="Hyperlink"/>
            <w:noProof/>
          </w:rPr>
          <w:t>6.8.</w:t>
        </w:r>
        <w:r>
          <w:rPr>
            <w:rFonts w:eastAsiaTheme="minorEastAsia"/>
            <w:noProof/>
            <w:color w:val="auto"/>
            <w:sz w:val="22"/>
            <w:szCs w:val="22"/>
            <w:lang w:eastAsia="en-GB"/>
          </w:rPr>
          <w:tab/>
        </w:r>
        <w:r w:rsidRPr="00B924BC">
          <w:rPr>
            <w:rStyle w:val="Hyperlink"/>
            <w:noProof/>
          </w:rPr>
          <w:t>Invoicing and Payment</w:t>
        </w:r>
        <w:r>
          <w:rPr>
            <w:noProof/>
            <w:webHidden/>
          </w:rPr>
          <w:tab/>
        </w:r>
        <w:r>
          <w:rPr>
            <w:noProof/>
            <w:webHidden/>
          </w:rPr>
          <w:fldChar w:fldCharType="begin"/>
        </w:r>
        <w:r>
          <w:rPr>
            <w:noProof/>
            <w:webHidden/>
          </w:rPr>
          <w:instrText xml:space="preserve"> PAGEREF _Toc110851937 \h </w:instrText>
        </w:r>
        <w:r>
          <w:rPr>
            <w:noProof/>
            <w:webHidden/>
          </w:rPr>
        </w:r>
        <w:r>
          <w:rPr>
            <w:noProof/>
            <w:webHidden/>
          </w:rPr>
          <w:fldChar w:fldCharType="separate"/>
        </w:r>
        <w:r>
          <w:rPr>
            <w:noProof/>
            <w:webHidden/>
          </w:rPr>
          <w:t>20</w:t>
        </w:r>
        <w:r>
          <w:rPr>
            <w:noProof/>
            <w:webHidden/>
          </w:rPr>
          <w:fldChar w:fldCharType="end"/>
        </w:r>
      </w:hyperlink>
    </w:p>
    <w:p w14:paraId="5EB65B3E" w14:textId="18788B67" w:rsidR="00632E13" w:rsidRDefault="00632E13">
      <w:pPr>
        <w:pStyle w:val="TOC2"/>
        <w:tabs>
          <w:tab w:val="right" w:leader="underscore" w:pos="9016"/>
        </w:tabs>
        <w:rPr>
          <w:rFonts w:eastAsiaTheme="minorEastAsia"/>
          <w:noProof/>
          <w:color w:val="auto"/>
          <w:sz w:val="22"/>
          <w:szCs w:val="22"/>
          <w:lang w:eastAsia="en-GB"/>
        </w:rPr>
      </w:pPr>
      <w:hyperlink w:anchor="_Toc110851938" w:history="1">
        <w:r w:rsidRPr="00B924BC">
          <w:rPr>
            <w:rStyle w:val="Hyperlink"/>
            <w:noProof/>
          </w:rPr>
          <w:t>6.9.</w:t>
        </w:r>
        <w:r>
          <w:rPr>
            <w:rFonts w:eastAsiaTheme="minorEastAsia"/>
            <w:noProof/>
            <w:color w:val="auto"/>
            <w:sz w:val="22"/>
            <w:szCs w:val="22"/>
            <w:lang w:eastAsia="en-GB"/>
          </w:rPr>
          <w:tab/>
        </w:r>
        <w:r w:rsidRPr="00B924BC">
          <w:rPr>
            <w:rStyle w:val="Hyperlink"/>
            <w:noProof/>
          </w:rPr>
          <w:t>Market Management</w:t>
        </w:r>
        <w:r>
          <w:rPr>
            <w:noProof/>
            <w:webHidden/>
          </w:rPr>
          <w:tab/>
        </w:r>
        <w:r>
          <w:rPr>
            <w:noProof/>
            <w:webHidden/>
          </w:rPr>
          <w:fldChar w:fldCharType="begin"/>
        </w:r>
        <w:r>
          <w:rPr>
            <w:noProof/>
            <w:webHidden/>
          </w:rPr>
          <w:instrText xml:space="preserve"> PAGEREF _Toc110851938 \h </w:instrText>
        </w:r>
        <w:r>
          <w:rPr>
            <w:noProof/>
            <w:webHidden/>
          </w:rPr>
        </w:r>
        <w:r>
          <w:rPr>
            <w:noProof/>
            <w:webHidden/>
          </w:rPr>
          <w:fldChar w:fldCharType="separate"/>
        </w:r>
        <w:r>
          <w:rPr>
            <w:noProof/>
            <w:webHidden/>
          </w:rPr>
          <w:t>21</w:t>
        </w:r>
        <w:r>
          <w:rPr>
            <w:noProof/>
            <w:webHidden/>
          </w:rPr>
          <w:fldChar w:fldCharType="end"/>
        </w:r>
      </w:hyperlink>
    </w:p>
    <w:p w14:paraId="14D74161" w14:textId="361A549E" w:rsidR="00632E13" w:rsidRDefault="00632E13">
      <w:pPr>
        <w:pStyle w:val="TOC1"/>
        <w:rPr>
          <w:rFonts w:eastAsiaTheme="minorEastAsia"/>
          <w:b w:val="0"/>
          <w:noProof/>
          <w:color w:val="auto"/>
          <w:sz w:val="22"/>
          <w:szCs w:val="22"/>
          <w:lang w:eastAsia="en-GB"/>
        </w:rPr>
      </w:pPr>
      <w:hyperlink w:anchor="_Toc110851939" w:history="1">
        <w:r w:rsidRPr="00B924BC">
          <w:rPr>
            <w:rStyle w:val="Hyperlink"/>
            <w:noProof/>
          </w:rPr>
          <w:t>Process (6.10 - 6.28)</w:t>
        </w:r>
        <w:r>
          <w:rPr>
            <w:noProof/>
            <w:webHidden/>
          </w:rPr>
          <w:tab/>
        </w:r>
        <w:r>
          <w:rPr>
            <w:noProof/>
            <w:webHidden/>
          </w:rPr>
          <w:fldChar w:fldCharType="begin"/>
        </w:r>
        <w:r>
          <w:rPr>
            <w:noProof/>
            <w:webHidden/>
          </w:rPr>
          <w:instrText xml:space="preserve"> PAGEREF _Toc110851939 \h </w:instrText>
        </w:r>
        <w:r>
          <w:rPr>
            <w:noProof/>
            <w:webHidden/>
          </w:rPr>
        </w:r>
        <w:r>
          <w:rPr>
            <w:noProof/>
            <w:webHidden/>
          </w:rPr>
          <w:fldChar w:fldCharType="separate"/>
        </w:r>
        <w:r>
          <w:rPr>
            <w:noProof/>
            <w:webHidden/>
          </w:rPr>
          <w:t>22</w:t>
        </w:r>
        <w:r>
          <w:rPr>
            <w:noProof/>
            <w:webHidden/>
          </w:rPr>
          <w:fldChar w:fldCharType="end"/>
        </w:r>
      </w:hyperlink>
    </w:p>
    <w:p w14:paraId="20F3D046" w14:textId="0DBDCA34" w:rsidR="00632E13" w:rsidRDefault="00632E13">
      <w:pPr>
        <w:pStyle w:val="TOC2"/>
        <w:tabs>
          <w:tab w:val="right" w:leader="underscore" w:pos="9016"/>
        </w:tabs>
        <w:rPr>
          <w:rFonts w:eastAsiaTheme="minorEastAsia"/>
          <w:noProof/>
          <w:color w:val="auto"/>
          <w:sz w:val="22"/>
          <w:szCs w:val="22"/>
          <w:lang w:eastAsia="en-GB"/>
        </w:rPr>
      </w:pPr>
      <w:hyperlink w:anchor="_Toc110851940" w:history="1">
        <w:r w:rsidRPr="00B924BC">
          <w:rPr>
            <w:rStyle w:val="Hyperlink"/>
            <w:noProof/>
          </w:rPr>
          <w:t>6.10.</w:t>
        </w:r>
        <w:r>
          <w:rPr>
            <w:rFonts w:eastAsiaTheme="minorEastAsia"/>
            <w:noProof/>
            <w:color w:val="auto"/>
            <w:sz w:val="22"/>
            <w:szCs w:val="22"/>
            <w:lang w:eastAsia="en-GB"/>
          </w:rPr>
          <w:tab/>
        </w:r>
        <w:r w:rsidRPr="00B924BC">
          <w:rPr>
            <w:rStyle w:val="Hyperlink"/>
            <w:noProof/>
          </w:rPr>
          <w:t>Consent, Mental Capacity, Safeguarding, and Deprivation of Liberty Safeguards (DoLS)</w:t>
        </w:r>
        <w:r>
          <w:rPr>
            <w:noProof/>
            <w:webHidden/>
          </w:rPr>
          <w:tab/>
        </w:r>
        <w:r>
          <w:rPr>
            <w:noProof/>
            <w:webHidden/>
          </w:rPr>
          <w:fldChar w:fldCharType="begin"/>
        </w:r>
        <w:r>
          <w:rPr>
            <w:noProof/>
            <w:webHidden/>
          </w:rPr>
          <w:instrText xml:space="preserve"> PAGEREF _Toc110851940 \h </w:instrText>
        </w:r>
        <w:r>
          <w:rPr>
            <w:noProof/>
            <w:webHidden/>
          </w:rPr>
        </w:r>
        <w:r>
          <w:rPr>
            <w:noProof/>
            <w:webHidden/>
          </w:rPr>
          <w:fldChar w:fldCharType="separate"/>
        </w:r>
        <w:r>
          <w:rPr>
            <w:noProof/>
            <w:webHidden/>
          </w:rPr>
          <w:t>22</w:t>
        </w:r>
        <w:r>
          <w:rPr>
            <w:noProof/>
            <w:webHidden/>
          </w:rPr>
          <w:fldChar w:fldCharType="end"/>
        </w:r>
      </w:hyperlink>
    </w:p>
    <w:p w14:paraId="4489E373" w14:textId="4956B2E5" w:rsidR="00632E13" w:rsidRDefault="00632E13">
      <w:pPr>
        <w:pStyle w:val="TOC2"/>
        <w:tabs>
          <w:tab w:val="right" w:leader="underscore" w:pos="9016"/>
        </w:tabs>
        <w:rPr>
          <w:rFonts w:eastAsiaTheme="minorEastAsia"/>
          <w:noProof/>
          <w:color w:val="auto"/>
          <w:sz w:val="22"/>
          <w:szCs w:val="22"/>
          <w:lang w:eastAsia="en-GB"/>
        </w:rPr>
      </w:pPr>
      <w:hyperlink w:anchor="_Toc110851941" w:history="1">
        <w:r w:rsidRPr="00B924BC">
          <w:rPr>
            <w:rStyle w:val="Hyperlink"/>
            <w:noProof/>
          </w:rPr>
          <w:t>6.11.</w:t>
        </w:r>
        <w:r>
          <w:rPr>
            <w:rFonts w:eastAsiaTheme="minorEastAsia"/>
            <w:noProof/>
            <w:color w:val="auto"/>
            <w:sz w:val="22"/>
            <w:szCs w:val="22"/>
            <w:lang w:eastAsia="en-GB"/>
          </w:rPr>
          <w:tab/>
        </w:r>
        <w:r w:rsidRPr="00B924BC">
          <w:rPr>
            <w:rStyle w:val="Hyperlink"/>
            <w:noProof/>
          </w:rPr>
          <w:t>Initial screening</w:t>
        </w:r>
        <w:r>
          <w:rPr>
            <w:noProof/>
            <w:webHidden/>
          </w:rPr>
          <w:tab/>
        </w:r>
        <w:r>
          <w:rPr>
            <w:noProof/>
            <w:webHidden/>
          </w:rPr>
          <w:fldChar w:fldCharType="begin"/>
        </w:r>
        <w:r>
          <w:rPr>
            <w:noProof/>
            <w:webHidden/>
          </w:rPr>
          <w:instrText xml:space="preserve"> PAGEREF _Toc110851941 \h </w:instrText>
        </w:r>
        <w:r>
          <w:rPr>
            <w:noProof/>
            <w:webHidden/>
          </w:rPr>
        </w:r>
        <w:r>
          <w:rPr>
            <w:noProof/>
            <w:webHidden/>
          </w:rPr>
          <w:fldChar w:fldCharType="separate"/>
        </w:r>
        <w:r>
          <w:rPr>
            <w:noProof/>
            <w:webHidden/>
          </w:rPr>
          <w:t>24</w:t>
        </w:r>
        <w:r>
          <w:rPr>
            <w:noProof/>
            <w:webHidden/>
          </w:rPr>
          <w:fldChar w:fldCharType="end"/>
        </w:r>
      </w:hyperlink>
    </w:p>
    <w:p w14:paraId="78E77A55" w14:textId="2B168A69" w:rsidR="00632E13" w:rsidRDefault="00632E13">
      <w:pPr>
        <w:pStyle w:val="TOC2"/>
        <w:tabs>
          <w:tab w:val="right" w:leader="underscore" w:pos="9016"/>
        </w:tabs>
        <w:rPr>
          <w:rFonts w:eastAsiaTheme="minorEastAsia"/>
          <w:noProof/>
          <w:color w:val="auto"/>
          <w:sz w:val="22"/>
          <w:szCs w:val="22"/>
          <w:lang w:eastAsia="en-GB"/>
        </w:rPr>
      </w:pPr>
      <w:hyperlink w:anchor="_Toc110851942" w:history="1">
        <w:r w:rsidRPr="00B924BC">
          <w:rPr>
            <w:rStyle w:val="Hyperlink"/>
            <w:noProof/>
          </w:rPr>
          <w:t>6.12.</w:t>
        </w:r>
        <w:r>
          <w:rPr>
            <w:rFonts w:eastAsiaTheme="minorEastAsia"/>
            <w:noProof/>
            <w:color w:val="auto"/>
            <w:sz w:val="22"/>
            <w:szCs w:val="22"/>
            <w:lang w:eastAsia="en-GB"/>
          </w:rPr>
          <w:tab/>
        </w:r>
        <w:r w:rsidRPr="00B924BC">
          <w:rPr>
            <w:rStyle w:val="Hyperlink"/>
            <w:noProof/>
          </w:rPr>
          <w:t>Full Assessment</w:t>
        </w:r>
        <w:r>
          <w:rPr>
            <w:noProof/>
            <w:webHidden/>
          </w:rPr>
          <w:tab/>
        </w:r>
        <w:r>
          <w:rPr>
            <w:noProof/>
            <w:webHidden/>
          </w:rPr>
          <w:fldChar w:fldCharType="begin"/>
        </w:r>
        <w:r>
          <w:rPr>
            <w:noProof/>
            <w:webHidden/>
          </w:rPr>
          <w:instrText xml:space="preserve"> PAGEREF _Toc110851942 \h </w:instrText>
        </w:r>
        <w:r>
          <w:rPr>
            <w:noProof/>
            <w:webHidden/>
          </w:rPr>
        </w:r>
        <w:r>
          <w:rPr>
            <w:noProof/>
            <w:webHidden/>
          </w:rPr>
          <w:fldChar w:fldCharType="separate"/>
        </w:r>
        <w:r>
          <w:rPr>
            <w:noProof/>
            <w:webHidden/>
          </w:rPr>
          <w:t>25</w:t>
        </w:r>
        <w:r>
          <w:rPr>
            <w:noProof/>
            <w:webHidden/>
          </w:rPr>
          <w:fldChar w:fldCharType="end"/>
        </w:r>
      </w:hyperlink>
    </w:p>
    <w:p w14:paraId="634CFAA0" w14:textId="47C65D56" w:rsidR="00632E13" w:rsidRDefault="00632E13">
      <w:pPr>
        <w:pStyle w:val="TOC2"/>
        <w:tabs>
          <w:tab w:val="right" w:leader="underscore" w:pos="9016"/>
        </w:tabs>
        <w:rPr>
          <w:rFonts w:eastAsiaTheme="minorEastAsia"/>
          <w:noProof/>
          <w:color w:val="auto"/>
          <w:sz w:val="22"/>
          <w:szCs w:val="22"/>
          <w:lang w:eastAsia="en-GB"/>
        </w:rPr>
      </w:pPr>
      <w:hyperlink w:anchor="_Toc110851943" w:history="1">
        <w:r w:rsidRPr="00B924BC">
          <w:rPr>
            <w:rStyle w:val="Hyperlink"/>
            <w:noProof/>
          </w:rPr>
          <w:t>6.13.</w:t>
        </w:r>
        <w:r>
          <w:rPr>
            <w:rFonts w:eastAsiaTheme="minorEastAsia"/>
            <w:noProof/>
            <w:color w:val="auto"/>
            <w:sz w:val="22"/>
            <w:szCs w:val="22"/>
            <w:lang w:eastAsia="en-GB"/>
          </w:rPr>
          <w:tab/>
        </w:r>
        <w:r w:rsidRPr="00B924BC">
          <w:rPr>
            <w:rStyle w:val="Hyperlink"/>
            <w:noProof/>
          </w:rPr>
          <w:t>Verification</w:t>
        </w:r>
        <w:r>
          <w:rPr>
            <w:noProof/>
            <w:webHidden/>
          </w:rPr>
          <w:tab/>
        </w:r>
        <w:r>
          <w:rPr>
            <w:noProof/>
            <w:webHidden/>
          </w:rPr>
          <w:fldChar w:fldCharType="begin"/>
        </w:r>
        <w:r>
          <w:rPr>
            <w:noProof/>
            <w:webHidden/>
          </w:rPr>
          <w:instrText xml:space="preserve"> PAGEREF _Toc110851943 \h </w:instrText>
        </w:r>
        <w:r>
          <w:rPr>
            <w:noProof/>
            <w:webHidden/>
          </w:rPr>
        </w:r>
        <w:r>
          <w:rPr>
            <w:noProof/>
            <w:webHidden/>
          </w:rPr>
          <w:fldChar w:fldCharType="separate"/>
        </w:r>
        <w:r>
          <w:rPr>
            <w:noProof/>
            <w:webHidden/>
          </w:rPr>
          <w:t>28</w:t>
        </w:r>
        <w:r>
          <w:rPr>
            <w:noProof/>
            <w:webHidden/>
          </w:rPr>
          <w:fldChar w:fldCharType="end"/>
        </w:r>
      </w:hyperlink>
    </w:p>
    <w:p w14:paraId="1B37ADC2" w14:textId="2DEE9255" w:rsidR="00632E13" w:rsidRDefault="00632E13">
      <w:pPr>
        <w:pStyle w:val="TOC2"/>
        <w:tabs>
          <w:tab w:val="right" w:leader="underscore" w:pos="9016"/>
        </w:tabs>
        <w:rPr>
          <w:rFonts w:eastAsiaTheme="minorEastAsia"/>
          <w:noProof/>
          <w:color w:val="auto"/>
          <w:sz w:val="22"/>
          <w:szCs w:val="22"/>
          <w:lang w:eastAsia="en-GB"/>
        </w:rPr>
      </w:pPr>
      <w:hyperlink w:anchor="_Toc110851944" w:history="1">
        <w:r w:rsidRPr="00B924BC">
          <w:rPr>
            <w:rStyle w:val="Hyperlink"/>
            <w:noProof/>
          </w:rPr>
          <w:t>6.14.</w:t>
        </w:r>
        <w:r>
          <w:rPr>
            <w:rFonts w:eastAsiaTheme="minorEastAsia"/>
            <w:noProof/>
            <w:color w:val="auto"/>
            <w:sz w:val="22"/>
            <w:szCs w:val="22"/>
            <w:lang w:eastAsia="en-GB"/>
          </w:rPr>
          <w:tab/>
        </w:r>
        <w:r w:rsidRPr="00B924BC">
          <w:rPr>
            <w:rStyle w:val="Hyperlink"/>
            <w:noProof/>
          </w:rPr>
          <w:t>Funded Nursing Care (FNC)</w:t>
        </w:r>
        <w:r>
          <w:rPr>
            <w:noProof/>
            <w:webHidden/>
          </w:rPr>
          <w:tab/>
        </w:r>
        <w:r>
          <w:rPr>
            <w:noProof/>
            <w:webHidden/>
          </w:rPr>
          <w:fldChar w:fldCharType="begin"/>
        </w:r>
        <w:r>
          <w:rPr>
            <w:noProof/>
            <w:webHidden/>
          </w:rPr>
          <w:instrText xml:space="preserve"> PAGEREF _Toc110851944 \h </w:instrText>
        </w:r>
        <w:r>
          <w:rPr>
            <w:noProof/>
            <w:webHidden/>
          </w:rPr>
        </w:r>
        <w:r>
          <w:rPr>
            <w:noProof/>
            <w:webHidden/>
          </w:rPr>
          <w:fldChar w:fldCharType="separate"/>
        </w:r>
        <w:r>
          <w:rPr>
            <w:noProof/>
            <w:webHidden/>
          </w:rPr>
          <w:t>29</w:t>
        </w:r>
        <w:r>
          <w:rPr>
            <w:noProof/>
            <w:webHidden/>
          </w:rPr>
          <w:fldChar w:fldCharType="end"/>
        </w:r>
      </w:hyperlink>
    </w:p>
    <w:p w14:paraId="4211B8F4" w14:textId="79FDA3DD" w:rsidR="00632E13" w:rsidRDefault="00632E13">
      <w:pPr>
        <w:pStyle w:val="TOC2"/>
        <w:tabs>
          <w:tab w:val="right" w:leader="underscore" w:pos="9016"/>
        </w:tabs>
        <w:rPr>
          <w:rFonts w:eastAsiaTheme="minorEastAsia"/>
          <w:noProof/>
          <w:color w:val="auto"/>
          <w:sz w:val="22"/>
          <w:szCs w:val="22"/>
          <w:lang w:eastAsia="en-GB"/>
        </w:rPr>
      </w:pPr>
      <w:hyperlink w:anchor="_Toc110851945" w:history="1">
        <w:r w:rsidRPr="00B924BC">
          <w:rPr>
            <w:rStyle w:val="Hyperlink"/>
            <w:noProof/>
          </w:rPr>
          <w:t>6.15.</w:t>
        </w:r>
        <w:r>
          <w:rPr>
            <w:rFonts w:eastAsiaTheme="minorEastAsia"/>
            <w:noProof/>
            <w:color w:val="auto"/>
            <w:sz w:val="22"/>
            <w:szCs w:val="22"/>
            <w:lang w:eastAsia="en-GB"/>
          </w:rPr>
          <w:tab/>
        </w:r>
        <w:r w:rsidRPr="00B924BC">
          <w:rPr>
            <w:rStyle w:val="Hyperlink"/>
            <w:noProof/>
          </w:rPr>
          <w:t>Fast Track (FT)</w:t>
        </w:r>
        <w:r>
          <w:rPr>
            <w:noProof/>
            <w:webHidden/>
          </w:rPr>
          <w:tab/>
        </w:r>
        <w:r>
          <w:rPr>
            <w:noProof/>
            <w:webHidden/>
          </w:rPr>
          <w:fldChar w:fldCharType="begin"/>
        </w:r>
        <w:r>
          <w:rPr>
            <w:noProof/>
            <w:webHidden/>
          </w:rPr>
          <w:instrText xml:space="preserve"> PAGEREF _Toc110851945 \h </w:instrText>
        </w:r>
        <w:r>
          <w:rPr>
            <w:noProof/>
            <w:webHidden/>
          </w:rPr>
        </w:r>
        <w:r>
          <w:rPr>
            <w:noProof/>
            <w:webHidden/>
          </w:rPr>
          <w:fldChar w:fldCharType="separate"/>
        </w:r>
        <w:r>
          <w:rPr>
            <w:noProof/>
            <w:webHidden/>
          </w:rPr>
          <w:t>29</w:t>
        </w:r>
        <w:r>
          <w:rPr>
            <w:noProof/>
            <w:webHidden/>
          </w:rPr>
          <w:fldChar w:fldCharType="end"/>
        </w:r>
      </w:hyperlink>
    </w:p>
    <w:p w14:paraId="3CF13B70" w14:textId="47A0C02E" w:rsidR="00632E13" w:rsidRDefault="00632E13">
      <w:pPr>
        <w:pStyle w:val="TOC2"/>
        <w:tabs>
          <w:tab w:val="right" w:leader="underscore" w:pos="9016"/>
        </w:tabs>
        <w:rPr>
          <w:rFonts w:eastAsiaTheme="minorEastAsia"/>
          <w:noProof/>
          <w:color w:val="auto"/>
          <w:sz w:val="22"/>
          <w:szCs w:val="22"/>
          <w:lang w:eastAsia="en-GB"/>
        </w:rPr>
      </w:pPr>
      <w:hyperlink w:anchor="_Toc110851946" w:history="1">
        <w:r w:rsidRPr="00B924BC">
          <w:rPr>
            <w:rStyle w:val="Hyperlink"/>
            <w:noProof/>
          </w:rPr>
          <w:t>6.16.</w:t>
        </w:r>
        <w:r>
          <w:rPr>
            <w:rFonts w:eastAsiaTheme="minorEastAsia"/>
            <w:noProof/>
            <w:color w:val="auto"/>
            <w:sz w:val="22"/>
            <w:szCs w:val="22"/>
            <w:lang w:eastAsia="en-GB"/>
          </w:rPr>
          <w:tab/>
        </w:r>
        <w:r w:rsidRPr="00B924BC">
          <w:rPr>
            <w:rStyle w:val="Hyperlink"/>
            <w:noProof/>
          </w:rPr>
          <w:t>Personal Health Budgets</w:t>
        </w:r>
        <w:r>
          <w:rPr>
            <w:noProof/>
            <w:webHidden/>
          </w:rPr>
          <w:tab/>
        </w:r>
        <w:r>
          <w:rPr>
            <w:noProof/>
            <w:webHidden/>
          </w:rPr>
          <w:fldChar w:fldCharType="begin"/>
        </w:r>
        <w:r>
          <w:rPr>
            <w:noProof/>
            <w:webHidden/>
          </w:rPr>
          <w:instrText xml:space="preserve"> PAGEREF _Toc110851946 \h </w:instrText>
        </w:r>
        <w:r>
          <w:rPr>
            <w:noProof/>
            <w:webHidden/>
          </w:rPr>
        </w:r>
        <w:r>
          <w:rPr>
            <w:noProof/>
            <w:webHidden/>
          </w:rPr>
          <w:fldChar w:fldCharType="separate"/>
        </w:r>
        <w:r>
          <w:rPr>
            <w:noProof/>
            <w:webHidden/>
          </w:rPr>
          <w:t>30</w:t>
        </w:r>
        <w:r>
          <w:rPr>
            <w:noProof/>
            <w:webHidden/>
          </w:rPr>
          <w:fldChar w:fldCharType="end"/>
        </w:r>
      </w:hyperlink>
    </w:p>
    <w:p w14:paraId="0D820684" w14:textId="0DC3B390" w:rsidR="00632E13" w:rsidRDefault="00632E13">
      <w:pPr>
        <w:pStyle w:val="TOC2"/>
        <w:tabs>
          <w:tab w:val="right" w:leader="underscore" w:pos="9016"/>
        </w:tabs>
        <w:rPr>
          <w:rFonts w:eastAsiaTheme="minorEastAsia"/>
          <w:noProof/>
          <w:color w:val="auto"/>
          <w:sz w:val="22"/>
          <w:szCs w:val="22"/>
          <w:lang w:eastAsia="en-GB"/>
        </w:rPr>
      </w:pPr>
      <w:hyperlink w:anchor="_Toc110851947" w:history="1">
        <w:r w:rsidRPr="00B924BC">
          <w:rPr>
            <w:rStyle w:val="Hyperlink"/>
            <w:noProof/>
          </w:rPr>
          <w:t>6.17.</w:t>
        </w:r>
        <w:r>
          <w:rPr>
            <w:rFonts w:eastAsiaTheme="minorEastAsia"/>
            <w:noProof/>
            <w:color w:val="auto"/>
            <w:sz w:val="22"/>
            <w:szCs w:val="22"/>
            <w:lang w:eastAsia="en-GB"/>
          </w:rPr>
          <w:tab/>
        </w:r>
        <w:r w:rsidRPr="00B924BC">
          <w:rPr>
            <w:rStyle w:val="Hyperlink"/>
            <w:noProof/>
          </w:rPr>
          <w:t>Brokerage and commissioning</w:t>
        </w:r>
        <w:r>
          <w:rPr>
            <w:noProof/>
            <w:webHidden/>
          </w:rPr>
          <w:tab/>
        </w:r>
        <w:r>
          <w:rPr>
            <w:noProof/>
            <w:webHidden/>
          </w:rPr>
          <w:fldChar w:fldCharType="begin"/>
        </w:r>
        <w:r>
          <w:rPr>
            <w:noProof/>
            <w:webHidden/>
          </w:rPr>
          <w:instrText xml:space="preserve"> PAGEREF _Toc110851947 \h </w:instrText>
        </w:r>
        <w:r>
          <w:rPr>
            <w:noProof/>
            <w:webHidden/>
          </w:rPr>
        </w:r>
        <w:r>
          <w:rPr>
            <w:noProof/>
            <w:webHidden/>
          </w:rPr>
          <w:fldChar w:fldCharType="separate"/>
        </w:r>
        <w:r>
          <w:rPr>
            <w:noProof/>
            <w:webHidden/>
          </w:rPr>
          <w:t>31</w:t>
        </w:r>
        <w:r>
          <w:rPr>
            <w:noProof/>
            <w:webHidden/>
          </w:rPr>
          <w:fldChar w:fldCharType="end"/>
        </w:r>
      </w:hyperlink>
    </w:p>
    <w:p w14:paraId="5040ACBA" w14:textId="5BFE17F9" w:rsidR="00632E13" w:rsidRDefault="00632E13">
      <w:pPr>
        <w:pStyle w:val="TOC2"/>
        <w:tabs>
          <w:tab w:val="right" w:leader="underscore" w:pos="9016"/>
        </w:tabs>
        <w:rPr>
          <w:rFonts w:eastAsiaTheme="minorEastAsia"/>
          <w:noProof/>
          <w:color w:val="auto"/>
          <w:sz w:val="22"/>
          <w:szCs w:val="22"/>
          <w:lang w:eastAsia="en-GB"/>
        </w:rPr>
      </w:pPr>
      <w:hyperlink w:anchor="_Toc110851948" w:history="1">
        <w:r w:rsidRPr="00B924BC">
          <w:rPr>
            <w:rStyle w:val="Hyperlink"/>
            <w:noProof/>
          </w:rPr>
          <w:t>6.18.</w:t>
        </w:r>
        <w:r>
          <w:rPr>
            <w:rFonts w:eastAsiaTheme="minorEastAsia"/>
            <w:noProof/>
            <w:color w:val="auto"/>
            <w:sz w:val="22"/>
            <w:szCs w:val="22"/>
            <w:lang w:eastAsia="en-GB"/>
          </w:rPr>
          <w:tab/>
        </w:r>
        <w:r w:rsidRPr="00B924BC">
          <w:rPr>
            <w:rStyle w:val="Hyperlink"/>
            <w:noProof/>
          </w:rPr>
          <w:t>Equity &amp; Choice</w:t>
        </w:r>
        <w:r>
          <w:rPr>
            <w:noProof/>
            <w:webHidden/>
          </w:rPr>
          <w:tab/>
        </w:r>
        <w:r>
          <w:rPr>
            <w:noProof/>
            <w:webHidden/>
          </w:rPr>
          <w:fldChar w:fldCharType="begin"/>
        </w:r>
        <w:r>
          <w:rPr>
            <w:noProof/>
            <w:webHidden/>
          </w:rPr>
          <w:instrText xml:space="preserve"> PAGEREF _Toc110851948 \h </w:instrText>
        </w:r>
        <w:r>
          <w:rPr>
            <w:noProof/>
            <w:webHidden/>
          </w:rPr>
        </w:r>
        <w:r>
          <w:rPr>
            <w:noProof/>
            <w:webHidden/>
          </w:rPr>
          <w:fldChar w:fldCharType="separate"/>
        </w:r>
        <w:r>
          <w:rPr>
            <w:noProof/>
            <w:webHidden/>
          </w:rPr>
          <w:t>35</w:t>
        </w:r>
        <w:r>
          <w:rPr>
            <w:noProof/>
            <w:webHidden/>
          </w:rPr>
          <w:fldChar w:fldCharType="end"/>
        </w:r>
      </w:hyperlink>
    </w:p>
    <w:p w14:paraId="5C2F2CF1" w14:textId="16490490" w:rsidR="00632E13" w:rsidRDefault="00632E13">
      <w:pPr>
        <w:pStyle w:val="TOC2"/>
        <w:tabs>
          <w:tab w:val="right" w:leader="underscore" w:pos="9016"/>
        </w:tabs>
        <w:rPr>
          <w:rFonts w:eastAsiaTheme="minorEastAsia"/>
          <w:noProof/>
          <w:color w:val="auto"/>
          <w:sz w:val="22"/>
          <w:szCs w:val="22"/>
          <w:lang w:eastAsia="en-GB"/>
        </w:rPr>
      </w:pPr>
      <w:hyperlink w:anchor="_Toc110851949" w:history="1">
        <w:r w:rsidRPr="00B924BC">
          <w:rPr>
            <w:rStyle w:val="Hyperlink"/>
            <w:noProof/>
          </w:rPr>
          <w:t>6.19.</w:t>
        </w:r>
        <w:r>
          <w:rPr>
            <w:rFonts w:eastAsiaTheme="minorEastAsia"/>
            <w:noProof/>
            <w:color w:val="auto"/>
            <w:sz w:val="22"/>
            <w:szCs w:val="22"/>
            <w:lang w:eastAsia="en-GB"/>
          </w:rPr>
          <w:tab/>
        </w:r>
        <w:r w:rsidRPr="00B924BC">
          <w:rPr>
            <w:rStyle w:val="Hyperlink"/>
            <w:noProof/>
          </w:rPr>
          <w:t>Safe and supportive observations</w:t>
        </w:r>
        <w:r>
          <w:rPr>
            <w:noProof/>
            <w:webHidden/>
          </w:rPr>
          <w:tab/>
        </w:r>
        <w:r>
          <w:rPr>
            <w:noProof/>
            <w:webHidden/>
          </w:rPr>
          <w:fldChar w:fldCharType="begin"/>
        </w:r>
        <w:r>
          <w:rPr>
            <w:noProof/>
            <w:webHidden/>
          </w:rPr>
          <w:instrText xml:space="preserve"> PAGEREF _Toc110851949 \h </w:instrText>
        </w:r>
        <w:r>
          <w:rPr>
            <w:noProof/>
            <w:webHidden/>
          </w:rPr>
        </w:r>
        <w:r>
          <w:rPr>
            <w:noProof/>
            <w:webHidden/>
          </w:rPr>
          <w:fldChar w:fldCharType="separate"/>
        </w:r>
        <w:r>
          <w:rPr>
            <w:noProof/>
            <w:webHidden/>
          </w:rPr>
          <w:t>39</w:t>
        </w:r>
        <w:r>
          <w:rPr>
            <w:noProof/>
            <w:webHidden/>
          </w:rPr>
          <w:fldChar w:fldCharType="end"/>
        </w:r>
      </w:hyperlink>
    </w:p>
    <w:p w14:paraId="18DBFD6F" w14:textId="2048CCF5" w:rsidR="00632E13" w:rsidRDefault="00632E13">
      <w:pPr>
        <w:pStyle w:val="TOC2"/>
        <w:tabs>
          <w:tab w:val="right" w:leader="underscore" w:pos="9016"/>
        </w:tabs>
        <w:rPr>
          <w:rFonts w:eastAsiaTheme="minorEastAsia"/>
          <w:noProof/>
          <w:color w:val="auto"/>
          <w:sz w:val="22"/>
          <w:szCs w:val="22"/>
          <w:lang w:eastAsia="en-GB"/>
        </w:rPr>
      </w:pPr>
      <w:hyperlink w:anchor="_Toc110851950" w:history="1">
        <w:r w:rsidRPr="00B924BC">
          <w:rPr>
            <w:rStyle w:val="Hyperlink"/>
            <w:noProof/>
          </w:rPr>
          <w:t>6.20.</w:t>
        </w:r>
        <w:r>
          <w:rPr>
            <w:rFonts w:eastAsiaTheme="minorEastAsia"/>
            <w:noProof/>
            <w:color w:val="auto"/>
            <w:sz w:val="22"/>
            <w:szCs w:val="22"/>
            <w:lang w:eastAsia="en-GB"/>
          </w:rPr>
          <w:tab/>
        </w:r>
        <w:r w:rsidRPr="00B924BC">
          <w:rPr>
            <w:rStyle w:val="Hyperlink"/>
            <w:noProof/>
          </w:rPr>
          <w:t>Review and Case Management</w:t>
        </w:r>
        <w:r>
          <w:rPr>
            <w:noProof/>
            <w:webHidden/>
          </w:rPr>
          <w:tab/>
        </w:r>
        <w:r>
          <w:rPr>
            <w:noProof/>
            <w:webHidden/>
          </w:rPr>
          <w:fldChar w:fldCharType="begin"/>
        </w:r>
        <w:r>
          <w:rPr>
            <w:noProof/>
            <w:webHidden/>
          </w:rPr>
          <w:instrText xml:space="preserve"> PAGEREF _Toc110851950 \h </w:instrText>
        </w:r>
        <w:r>
          <w:rPr>
            <w:noProof/>
            <w:webHidden/>
          </w:rPr>
        </w:r>
        <w:r>
          <w:rPr>
            <w:noProof/>
            <w:webHidden/>
          </w:rPr>
          <w:fldChar w:fldCharType="separate"/>
        </w:r>
        <w:r>
          <w:rPr>
            <w:noProof/>
            <w:webHidden/>
          </w:rPr>
          <w:t>45</w:t>
        </w:r>
        <w:r>
          <w:rPr>
            <w:noProof/>
            <w:webHidden/>
          </w:rPr>
          <w:fldChar w:fldCharType="end"/>
        </w:r>
      </w:hyperlink>
    </w:p>
    <w:p w14:paraId="4A9643AC" w14:textId="510B004C" w:rsidR="00632E13" w:rsidRDefault="00632E13">
      <w:pPr>
        <w:pStyle w:val="TOC2"/>
        <w:tabs>
          <w:tab w:val="right" w:leader="underscore" w:pos="9016"/>
        </w:tabs>
        <w:rPr>
          <w:rFonts w:eastAsiaTheme="minorEastAsia"/>
          <w:noProof/>
          <w:color w:val="auto"/>
          <w:sz w:val="22"/>
          <w:szCs w:val="22"/>
          <w:lang w:eastAsia="en-GB"/>
        </w:rPr>
      </w:pPr>
      <w:hyperlink w:anchor="_Toc110851951" w:history="1">
        <w:r w:rsidRPr="00B924BC">
          <w:rPr>
            <w:rStyle w:val="Hyperlink"/>
            <w:noProof/>
          </w:rPr>
          <w:t>6.21.</w:t>
        </w:r>
        <w:r>
          <w:rPr>
            <w:rFonts w:eastAsiaTheme="minorEastAsia"/>
            <w:noProof/>
            <w:color w:val="auto"/>
            <w:sz w:val="22"/>
            <w:szCs w:val="22"/>
            <w:lang w:eastAsia="en-GB"/>
          </w:rPr>
          <w:tab/>
        </w:r>
        <w:r w:rsidRPr="00B924BC">
          <w:rPr>
            <w:rStyle w:val="Hyperlink"/>
            <w:noProof/>
          </w:rPr>
          <w:t>Requests for reviews of eligibility decisions</w:t>
        </w:r>
        <w:r>
          <w:rPr>
            <w:noProof/>
            <w:webHidden/>
          </w:rPr>
          <w:tab/>
        </w:r>
        <w:r>
          <w:rPr>
            <w:noProof/>
            <w:webHidden/>
          </w:rPr>
          <w:fldChar w:fldCharType="begin"/>
        </w:r>
        <w:r>
          <w:rPr>
            <w:noProof/>
            <w:webHidden/>
          </w:rPr>
          <w:instrText xml:space="preserve"> PAGEREF _Toc110851951 \h </w:instrText>
        </w:r>
        <w:r>
          <w:rPr>
            <w:noProof/>
            <w:webHidden/>
          </w:rPr>
        </w:r>
        <w:r>
          <w:rPr>
            <w:noProof/>
            <w:webHidden/>
          </w:rPr>
          <w:fldChar w:fldCharType="separate"/>
        </w:r>
        <w:r>
          <w:rPr>
            <w:noProof/>
            <w:webHidden/>
          </w:rPr>
          <w:t>46</w:t>
        </w:r>
        <w:r>
          <w:rPr>
            <w:noProof/>
            <w:webHidden/>
          </w:rPr>
          <w:fldChar w:fldCharType="end"/>
        </w:r>
      </w:hyperlink>
    </w:p>
    <w:p w14:paraId="01AEE7BE" w14:textId="2345A764" w:rsidR="00632E13" w:rsidRDefault="00632E13">
      <w:pPr>
        <w:pStyle w:val="TOC2"/>
        <w:tabs>
          <w:tab w:val="right" w:leader="underscore" w:pos="9016"/>
        </w:tabs>
        <w:rPr>
          <w:rFonts w:eastAsiaTheme="minorEastAsia"/>
          <w:noProof/>
          <w:color w:val="auto"/>
          <w:sz w:val="22"/>
          <w:szCs w:val="22"/>
          <w:lang w:eastAsia="en-GB"/>
        </w:rPr>
      </w:pPr>
      <w:hyperlink w:anchor="_Toc110851952" w:history="1">
        <w:r w:rsidRPr="00B924BC">
          <w:rPr>
            <w:rStyle w:val="Hyperlink"/>
            <w:noProof/>
          </w:rPr>
          <w:t>6.22.</w:t>
        </w:r>
        <w:r>
          <w:rPr>
            <w:rFonts w:eastAsiaTheme="minorEastAsia"/>
            <w:noProof/>
            <w:color w:val="auto"/>
            <w:sz w:val="22"/>
            <w:szCs w:val="22"/>
            <w:lang w:eastAsia="en-GB"/>
          </w:rPr>
          <w:tab/>
        </w:r>
        <w:r w:rsidRPr="00B924BC">
          <w:rPr>
            <w:rStyle w:val="Hyperlink"/>
            <w:noProof/>
          </w:rPr>
          <w:t>Retrospective assessments (CHC only)</w:t>
        </w:r>
        <w:r>
          <w:rPr>
            <w:noProof/>
            <w:webHidden/>
          </w:rPr>
          <w:tab/>
        </w:r>
        <w:r>
          <w:rPr>
            <w:noProof/>
            <w:webHidden/>
          </w:rPr>
          <w:fldChar w:fldCharType="begin"/>
        </w:r>
        <w:r>
          <w:rPr>
            <w:noProof/>
            <w:webHidden/>
          </w:rPr>
          <w:instrText xml:space="preserve"> PAGEREF _Toc110851952 \h </w:instrText>
        </w:r>
        <w:r>
          <w:rPr>
            <w:noProof/>
            <w:webHidden/>
          </w:rPr>
        </w:r>
        <w:r>
          <w:rPr>
            <w:noProof/>
            <w:webHidden/>
          </w:rPr>
          <w:fldChar w:fldCharType="separate"/>
        </w:r>
        <w:r>
          <w:rPr>
            <w:noProof/>
            <w:webHidden/>
          </w:rPr>
          <w:t>50</w:t>
        </w:r>
        <w:r>
          <w:rPr>
            <w:noProof/>
            <w:webHidden/>
          </w:rPr>
          <w:fldChar w:fldCharType="end"/>
        </w:r>
      </w:hyperlink>
    </w:p>
    <w:p w14:paraId="2DFD17BA" w14:textId="424BA1E1" w:rsidR="00632E13" w:rsidRDefault="00632E13">
      <w:pPr>
        <w:pStyle w:val="TOC2"/>
        <w:tabs>
          <w:tab w:val="right" w:leader="underscore" w:pos="9016"/>
        </w:tabs>
        <w:rPr>
          <w:rFonts w:eastAsiaTheme="minorEastAsia"/>
          <w:noProof/>
          <w:color w:val="auto"/>
          <w:sz w:val="22"/>
          <w:szCs w:val="22"/>
          <w:lang w:eastAsia="en-GB"/>
        </w:rPr>
      </w:pPr>
      <w:hyperlink w:anchor="_Toc110851953" w:history="1">
        <w:r w:rsidRPr="00B924BC">
          <w:rPr>
            <w:rStyle w:val="Hyperlink"/>
            <w:noProof/>
          </w:rPr>
          <w:t>6.23.</w:t>
        </w:r>
        <w:r>
          <w:rPr>
            <w:rFonts w:eastAsiaTheme="minorEastAsia"/>
            <w:noProof/>
            <w:color w:val="auto"/>
            <w:sz w:val="22"/>
            <w:szCs w:val="22"/>
            <w:lang w:eastAsia="en-GB"/>
          </w:rPr>
          <w:tab/>
        </w:r>
        <w:r w:rsidRPr="00B924BC">
          <w:rPr>
            <w:rStyle w:val="Hyperlink"/>
            <w:noProof/>
          </w:rPr>
          <w:t>Redress (CHC only)</w:t>
        </w:r>
        <w:r>
          <w:rPr>
            <w:noProof/>
            <w:webHidden/>
          </w:rPr>
          <w:tab/>
        </w:r>
        <w:r>
          <w:rPr>
            <w:noProof/>
            <w:webHidden/>
          </w:rPr>
          <w:fldChar w:fldCharType="begin"/>
        </w:r>
        <w:r>
          <w:rPr>
            <w:noProof/>
            <w:webHidden/>
          </w:rPr>
          <w:instrText xml:space="preserve"> PAGEREF _Toc110851953 \h </w:instrText>
        </w:r>
        <w:r>
          <w:rPr>
            <w:noProof/>
            <w:webHidden/>
          </w:rPr>
        </w:r>
        <w:r>
          <w:rPr>
            <w:noProof/>
            <w:webHidden/>
          </w:rPr>
          <w:fldChar w:fldCharType="separate"/>
        </w:r>
        <w:r>
          <w:rPr>
            <w:noProof/>
            <w:webHidden/>
          </w:rPr>
          <w:t>51</w:t>
        </w:r>
        <w:r>
          <w:rPr>
            <w:noProof/>
            <w:webHidden/>
          </w:rPr>
          <w:fldChar w:fldCharType="end"/>
        </w:r>
      </w:hyperlink>
    </w:p>
    <w:p w14:paraId="6183FAC9" w14:textId="05B1CD01" w:rsidR="00632E13" w:rsidRDefault="00632E13">
      <w:pPr>
        <w:pStyle w:val="TOC2"/>
        <w:tabs>
          <w:tab w:val="right" w:leader="underscore" w:pos="9016"/>
        </w:tabs>
        <w:rPr>
          <w:rFonts w:eastAsiaTheme="minorEastAsia"/>
          <w:noProof/>
          <w:color w:val="auto"/>
          <w:sz w:val="22"/>
          <w:szCs w:val="22"/>
          <w:lang w:eastAsia="en-GB"/>
        </w:rPr>
      </w:pPr>
      <w:hyperlink w:anchor="_Toc110851954" w:history="1">
        <w:r w:rsidRPr="00B924BC">
          <w:rPr>
            <w:rStyle w:val="Hyperlink"/>
            <w:noProof/>
          </w:rPr>
          <w:t>6.24.</w:t>
        </w:r>
        <w:r>
          <w:rPr>
            <w:rFonts w:eastAsiaTheme="minorEastAsia"/>
            <w:noProof/>
            <w:color w:val="auto"/>
            <w:sz w:val="22"/>
            <w:szCs w:val="22"/>
            <w:lang w:eastAsia="en-GB"/>
          </w:rPr>
          <w:tab/>
        </w:r>
        <w:r w:rsidRPr="00B924BC">
          <w:rPr>
            <w:rStyle w:val="Hyperlink"/>
            <w:noProof/>
          </w:rPr>
          <w:t>Initiation, Suspension and Cessation of funding</w:t>
        </w:r>
        <w:r>
          <w:rPr>
            <w:noProof/>
            <w:webHidden/>
          </w:rPr>
          <w:tab/>
        </w:r>
        <w:r>
          <w:rPr>
            <w:noProof/>
            <w:webHidden/>
          </w:rPr>
          <w:fldChar w:fldCharType="begin"/>
        </w:r>
        <w:r>
          <w:rPr>
            <w:noProof/>
            <w:webHidden/>
          </w:rPr>
          <w:instrText xml:space="preserve"> PAGEREF _Toc110851954 \h </w:instrText>
        </w:r>
        <w:r>
          <w:rPr>
            <w:noProof/>
            <w:webHidden/>
          </w:rPr>
        </w:r>
        <w:r>
          <w:rPr>
            <w:noProof/>
            <w:webHidden/>
          </w:rPr>
          <w:fldChar w:fldCharType="separate"/>
        </w:r>
        <w:r>
          <w:rPr>
            <w:noProof/>
            <w:webHidden/>
          </w:rPr>
          <w:t>52</w:t>
        </w:r>
        <w:r>
          <w:rPr>
            <w:noProof/>
            <w:webHidden/>
          </w:rPr>
          <w:fldChar w:fldCharType="end"/>
        </w:r>
      </w:hyperlink>
    </w:p>
    <w:p w14:paraId="1F38D50D" w14:textId="6F6027F0" w:rsidR="00632E13" w:rsidRDefault="00632E13">
      <w:pPr>
        <w:pStyle w:val="TOC2"/>
        <w:tabs>
          <w:tab w:val="right" w:leader="underscore" w:pos="9016"/>
        </w:tabs>
        <w:rPr>
          <w:rFonts w:eastAsiaTheme="minorEastAsia"/>
          <w:noProof/>
          <w:color w:val="auto"/>
          <w:sz w:val="22"/>
          <w:szCs w:val="22"/>
          <w:lang w:eastAsia="en-GB"/>
        </w:rPr>
      </w:pPr>
      <w:hyperlink w:anchor="_Toc110851955" w:history="1">
        <w:r w:rsidRPr="00B924BC">
          <w:rPr>
            <w:rStyle w:val="Hyperlink"/>
            <w:noProof/>
          </w:rPr>
          <w:t>6.25.</w:t>
        </w:r>
        <w:r>
          <w:rPr>
            <w:rFonts w:eastAsiaTheme="minorEastAsia"/>
            <w:noProof/>
            <w:color w:val="auto"/>
            <w:sz w:val="22"/>
            <w:szCs w:val="22"/>
            <w:lang w:eastAsia="en-GB"/>
          </w:rPr>
          <w:tab/>
        </w:r>
        <w:r w:rsidRPr="00B924BC">
          <w:rPr>
            <w:rStyle w:val="Hyperlink"/>
            <w:noProof/>
          </w:rPr>
          <w:t>Disputes with Local Authority</w:t>
        </w:r>
        <w:r>
          <w:rPr>
            <w:noProof/>
            <w:webHidden/>
          </w:rPr>
          <w:tab/>
        </w:r>
        <w:r>
          <w:rPr>
            <w:noProof/>
            <w:webHidden/>
          </w:rPr>
          <w:fldChar w:fldCharType="begin"/>
        </w:r>
        <w:r>
          <w:rPr>
            <w:noProof/>
            <w:webHidden/>
          </w:rPr>
          <w:instrText xml:space="preserve"> PAGEREF _Toc110851955 \h </w:instrText>
        </w:r>
        <w:r>
          <w:rPr>
            <w:noProof/>
            <w:webHidden/>
          </w:rPr>
        </w:r>
        <w:r>
          <w:rPr>
            <w:noProof/>
            <w:webHidden/>
          </w:rPr>
          <w:fldChar w:fldCharType="separate"/>
        </w:r>
        <w:r>
          <w:rPr>
            <w:noProof/>
            <w:webHidden/>
          </w:rPr>
          <w:t>53</w:t>
        </w:r>
        <w:r>
          <w:rPr>
            <w:noProof/>
            <w:webHidden/>
          </w:rPr>
          <w:fldChar w:fldCharType="end"/>
        </w:r>
      </w:hyperlink>
    </w:p>
    <w:p w14:paraId="62521A01" w14:textId="706D4EF2" w:rsidR="00632E13" w:rsidRDefault="00632E13">
      <w:pPr>
        <w:pStyle w:val="TOC2"/>
        <w:tabs>
          <w:tab w:val="right" w:leader="underscore" w:pos="9016"/>
        </w:tabs>
        <w:rPr>
          <w:rFonts w:eastAsiaTheme="minorEastAsia"/>
          <w:noProof/>
          <w:color w:val="auto"/>
          <w:sz w:val="22"/>
          <w:szCs w:val="22"/>
          <w:lang w:eastAsia="en-GB"/>
        </w:rPr>
      </w:pPr>
      <w:hyperlink w:anchor="_Toc110851956" w:history="1">
        <w:r w:rsidRPr="00B924BC">
          <w:rPr>
            <w:rStyle w:val="Hyperlink"/>
            <w:noProof/>
          </w:rPr>
          <w:t>6.26.</w:t>
        </w:r>
        <w:r>
          <w:rPr>
            <w:rFonts w:eastAsiaTheme="minorEastAsia"/>
            <w:noProof/>
            <w:color w:val="auto"/>
            <w:sz w:val="22"/>
            <w:szCs w:val="22"/>
            <w:lang w:eastAsia="en-GB"/>
          </w:rPr>
          <w:tab/>
        </w:r>
        <w:r w:rsidRPr="00B924BC">
          <w:rPr>
            <w:rStyle w:val="Hyperlink"/>
            <w:noProof/>
          </w:rPr>
          <w:t>Transition from child to adult services</w:t>
        </w:r>
        <w:r>
          <w:rPr>
            <w:noProof/>
            <w:webHidden/>
          </w:rPr>
          <w:tab/>
        </w:r>
        <w:r>
          <w:rPr>
            <w:noProof/>
            <w:webHidden/>
          </w:rPr>
          <w:fldChar w:fldCharType="begin"/>
        </w:r>
        <w:r>
          <w:rPr>
            <w:noProof/>
            <w:webHidden/>
          </w:rPr>
          <w:instrText xml:space="preserve"> PAGEREF _Toc110851956 \h </w:instrText>
        </w:r>
        <w:r>
          <w:rPr>
            <w:noProof/>
            <w:webHidden/>
          </w:rPr>
        </w:r>
        <w:r>
          <w:rPr>
            <w:noProof/>
            <w:webHidden/>
          </w:rPr>
          <w:fldChar w:fldCharType="separate"/>
        </w:r>
        <w:r>
          <w:rPr>
            <w:noProof/>
            <w:webHidden/>
          </w:rPr>
          <w:t>53</w:t>
        </w:r>
        <w:r>
          <w:rPr>
            <w:noProof/>
            <w:webHidden/>
          </w:rPr>
          <w:fldChar w:fldCharType="end"/>
        </w:r>
      </w:hyperlink>
    </w:p>
    <w:p w14:paraId="02BC80BE" w14:textId="758DF8DC" w:rsidR="00632E13" w:rsidRDefault="00632E13">
      <w:pPr>
        <w:pStyle w:val="TOC2"/>
        <w:tabs>
          <w:tab w:val="right" w:leader="underscore" w:pos="9016"/>
        </w:tabs>
        <w:rPr>
          <w:rFonts w:eastAsiaTheme="minorEastAsia"/>
          <w:noProof/>
          <w:color w:val="auto"/>
          <w:sz w:val="22"/>
          <w:szCs w:val="22"/>
          <w:lang w:eastAsia="en-GB"/>
        </w:rPr>
      </w:pPr>
      <w:hyperlink w:anchor="_Toc110851957" w:history="1">
        <w:r w:rsidRPr="00B924BC">
          <w:rPr>
            <w:rStyle w:val="Hyperlink"/>
            <w:noProof/>
          </w:rPr>
          <w:t>6.27.</w:t>
        </w:r>
        <w:r>
          <w:rPr>
            <w:rFonts w:eastAsiaTheme="minorEastAsia"/>
            <w:noProof/>
            <w:color w:val="auto"/>
            <w:sz w:val="22"/>
            <w:szCs w:val="22"/>
            <w:lang w:eastAsia="en-GB"/>
          </w:rPr>
          <w:tab/>
        </w:r>
        <w:r w:rsidRPr="00B924BC">
          <w:rPr>
            <w:rStyle w:val="Hyperlink"/>
            <w:noProof/>
          </w:rPr>
          <w:t>Joint Funding</w:t>
        </w:r>
        <w:r>
          <w:rPr>
            <w:noProof/>
            <w:webHidden/>
          </w:rPr>
          <w:tab/>
        </w:r>
        <w:r>
          <w:rPr>
            <w:noProof/>
            <w:webHidden/>
          </w:rPr>
          <w:fldChar w:fldCharType="begin"/>
        </w:r>
        <w:r>
          <w:rPr>
            <w:noProof/>
            <w:webHidden/>
          </w:rPr>
          <w:instrText xml:space="preserve"> PAGEREF _Toc110851957 \h </w:instrText>
        </w:r>
        <w:r>
          <w:rPr>
            <w:noProof/>
            <w:webHidden/>
          </w:rPr>
        </w:r>
        <w:r>
          <w:rPr>
            <w:noProof/>
            <w:webHidden/>
          </w:rPr>
          <w:fldChar w:fldCharType="separate"/>
        </w:r>
        <w:r>
          <w:rPr>
            <w:noProof/>
            <w:webHidden/>
          </w:rPr>
          <w:t>55</w:t>
        </w:r>
        <w:r>
          <w:rPr>
            <w:noProof/>
            <w:webHidden/>
          </w:rPr>
          <w:fldChar w:fldCharType="end"/>
        </w:r>
      </w:hyperlink>
    </w:p>
    <w:p w14:paraId="14A3AD7A" w14:textId="4FD412B7" w:rsidR="00632E13" w:rsidRDefault="00632E13">
      <w:pPr>
        <w:pStyle w:val="TOC2"/>
        <w:tabs>
          <w:tab w:val="right" w:leader="underscore" w:pos="9016"/>
        </w:tabs>
        <w:rPr>
          <w:rFonts w:eastAsiaTheme="minorEastAsia"/>
          <w:noProof/>
          <w:color w:val="auto"/>
          <w:sz w:val="22"/>
          <w:szCs w:val="22"/>
          <w:lang w:eastAsia="en-GB"/>
        </w:rPr>
      </w:pPr>
      <w:hyperlink w:anchor="_Toc110851958" w:history="1">
        <w:r w:rsidRPr="00B924BC">
          <w:rPr>
            <w:rStyle w:val="Hyperlink"/>
            <w:noProof/>
          </w:rPr>
          <w:t>6.28.</w:t>
        </w:r>
        <w:r>
          <w:rPr>
            <w:rFonts w:eastAsiaTheme="minorEastAsia"/>
            <w:noProof/>
            <w:color w:val="auto"/>
            <w:sz w:val="22"/>
            <w:szCs w:val="22"/>
            <w:lang w:eastAsia="en-GB"/>
          </w:rPr>
          <w:tab/>
        </w:r>
        <w:r w:rsidRPr="00B924BC">
          <w:rPr>
            <w:rStyle w:val="Hyperlink"/>
            <w:noProof/>
          </w:rPr>
          <w:t>Discharge to Assess (CHC only)</w:t>
        </w:r>
        <w:r>
          <w:rPr>
            <w:noProof/>
            <w:webHidden/>
          </w:rPr>
          <w:tab/>
        </w:r>
        <w:r>
          <w:rPr>
            <w:noProof/>
            <w:webHidden/>
          </w:rPr>
          <w:fldChar w:fldCharType="begin"/>
        </w:r>
        <w:r>
          <w:rPr>
            <w:noProof/>
            <w:webHidden/>
          </w:rPr>
          <w:instrText xml:space="preserve"> PAGEREF _Toc110851958 \h </w:instrText>
        </w:r>
        <w:r>
          <w:rPr>
            <w:noProof/>
            <w:webHidden/>
          </w:rPr>
        </w:r>
        <w:r>
          <w:rPr>
            <w:noProof/>
            <w:webHidden/>
          </w:rPr>
          <w:fldChar w:fldCharType="separate"/>
        </w:r>
        <w:r>
          <w:rPr>
            <w:noProof/>
            <w:webHidden/>
          </w:rPr>
          <w:t>56</w:t>
        </w:r>
        <w:r>
          <w:rPr>
            <w:noProof/>
            <w:webHidden/>
          </w:rPr>
          <w:fldChar w:fldCharType="end"/>
        </w:r>
      </w:hyperlink>
    </w:p>
    <w:p w14:paraId="6642DA7E" w14:textId="661AC597" w:rsidR="00632E13" w:rsidRDefault="00632E13">
      <w:pPr>
        <w:pStyle w:val="TOC1"/>
        <w:rPr>
          <w:rFonts w:eastAsiaTheme="minorEastAsia"/>
          <w:b w:val="0"/>
          <w:noProof/>
          <w:color w:val="auto"/>
          <w:sz w:val="22"/>
          <w:szCs w:val="22"/>
          <w:lang w:eastAsia="en-GB"/>
        </w:rPr>
      </w:pPr>
      <w:hyperlink w:anchor="_Toc110851959" w:history="1">
        <w:r w:rsidRPr="00B924BC">
          <w:rPr>
            <w:rStyle w:val="Hyperlink"/>
            <w:noProof/>
          </w:rPr>
          <w:t>7.</w:t>
        </w:r>
        <w:r>
          <w:rPr>
            <w:rFonts w:eastAsiaTheme="minorEastAsia"/>
            <w:b w:val="0"/>
            <w:noProof/>
            <w:color w:val="auto"/>
            <w:sz w:val="22"/>
            <w:szCs w:val="22"/>
            <w:lang w:eastAsia="en-GB"/>
          </w:rPr>
          <w:tab/>
        </w:r>
        <w:r w:rsidRPr="00B924BC">
          <w:rPr>
            <w:rStyle w:val="Hyperlink"/>
            <w:noProof/>
          </w:rPr>
          <w:t>Monitoring Compliance</w:t>
        </w:r>
        <w:r>
          <w:rPr>
            <w:noProof/>
            <w:webHidden/>
          </w:rPr>
          <w:tab/>
        </w:r>
        <w:r>
          <w:rPr>
            <w:noProof/>
            <w:webHidden/>
          </w:rPr>
          <w:fldChar w:fldCharType="begin"/>
        </w:r>
        <w:r>
          <w:rPr>
            <w:noProof/>
            <w:webHidden/>
          </w:rPr>
          <w:instrText xml:space="preserve"> PAGEREF _Toc110851959 \h </w:instrText>
        </w:r>
        <w:r>
          <w:rPr>
            <w:noProof/>
            <w:webHidden/>
          </w:rPr>
        </w:r>
        <w:r>
          <w:rPr>
            <w:noProof/>
            <w:webHidden/>
          </w:rPr>
          <w:fldChar w:fldCharType="separate"/>
        </w:r>
        <w:r>
          <w:rPr>
            <w:noProof/>
            <w:webHidden/>
          </w:rPr>
          <w:t>57</w:t>
        </w:r>
        <w:r>
          <w:rPr>
            <w:noProof/>
            <w:webHidden/>
          </w:rPr>
          <w:fldChar w:fldCharType="end"/>
        </w:r>
      </w:hyperlink>
    </w:p>
    <w:p w14:paraId="2DC4F4F5" w14:textId="7D9E3873" w:rsidR="00632E13" w:rsidRDefault="00632E13">
      <w:pPr>
        <w:pStyle w:val="TOC1"/>
        <w:rPr>
          <w:rFonts w:eastAsiaTheme="minorEastAsia"/>
          <w:b w:val="0"/>
          <w:noProof/>
          <w:color w:val="auto"/>
          <w:sz w:val="22"/>
          <w:szCs w:val="22"/>
          <w:lang w:eastAsia="en-GB"/>
        </w:rPr>
      </w:pPr>
      <w:hyperlink w:anchor="_Toc110851960" w:history="1">
        <w:r w:rsidRPr="00B924BC">
          <w:rPr>
            <w:rStyle w:val="Hyperlink"/>
            <w:noProof/>
          </w:rPr>
          <w:t>8</w:t>
        </w:r>
        <w:r>
          <w:rPr>
            <w:rFonts w:eastAsiaTheme="minorEastAsia"/>
            <w:b w:val="0"/>
            <w:noProof/>
            <w:color w:val="auto"/>
            <w:sz w:val="22"/>
            <w:szCs w:val="22"/>
            <w:lang w:eastAsia="en-GB"/>
          </w:rPr>
          <w:tab/>
        </w:r>
        <w:r w:rsidRPr="00B924BC">
          <w:rPr>
            <w:rStyle w:val="Hyperlink"/>
            <w:noProof/>
          </w:rPr>
          <w:t>Staff Training</w:t>
        </w:r>
        <w:r>
          <w:rPr>
            <w:noProof/>
            <w:webHidden/>
          </w:rPr>
          <w:tab/>
        </w:r>
        <w:r>
          <w:rPr>
            <w:noProof/>
            <w:webHidden/>
          </w:rPr>
          <w:fldChar w:fldCharType="begin"/>
        </w:r>
        <w:r>
          <w:rPr>
            <w:noProof/>
            <w:webHidden/>
          </w:rPr>
          <w:instrText xml:space="preserve"> PAGEREF _Toc110851960 \h </w:instrText>
        </w:r>
        <w:r>
          <w:rPr>
            <w:noProof/>
            <w:webHidden/>
          </w:rPr>
        </w:r>
        <w:r>
          <w:rPr>
            <w:noProof/>
            <w:webHidden/>
          </w:rPr>
          <w:fldChar w:fldCharType="separate"/>
        </w:r>
        <w:r>
          <w:rPr>
            <w:noProof/>
            <w:webHidden/>
          </w:rPr>
          <w:t>57</w:t>
        </w:r>
        <w:r>
          <w:rPr>
            <w:noProof/>
            <w:webHidden/>
          </w:rPr>
          <w:fldChar w:fldCharType="end"/>
        </w:r>
      </w:hyperlink>
    </w:p>
    <w:p w14:paraId="77F62508" w14:textId="4D73E577" w:rsidR="00632E13" w:rsidRDefault="00632E13">
      <w:pPr>
        <w:pStyle w:val="TOC1"/>
        <w:rPr>
          <w:rFonts w:eastAsiaTheme="minorEastAsia"/>
          <w:b w:val="0"/>
          <w:noProof/>
          <w:color w:val="auto"/>
          <w:sz w:val="22"/>
          <w:szCs w:val="22"/>
          <w:lang w:eastAsia="en-GB"/>
        </w:rPr>
      </w:pPr>
      <w:hyperlink w:anchor="_Toc110851961" w:history="1">
        <w:r w:rsidRPr="00B924BC">
          <w:rPr>
            <w:rStyle w:val="Hyperlink"/>
            <w:noProof/>
          </w:rPr>
          <w:t>9</w:t>
        </w:r>
        <w:r>
          <w:rPr>
            <w:rFonts w:eastAsiaTheme="minorEastAsia"/>
            <w:b w:val="0"/>
            <w:noProof/>
            <w:color w:val="auto"/>
            <w:sz w:val="22"/>
            <w:szCs w:val="22"/>
            <w:lang w:eastAsia="en-GB"/>
          </w:rPr>
          <w:tab/>
        </w:r>
        <w:r w:rsidRPr="00B924BC">
          <w:rPr>
            <w:rStyle w:val="Hyperlink"/>
            <w:noProof/>
          </w:rPr>
          <w:t>Arrangements for Review</w:t>
        </w:r>
        <w:r>
          <w:rPr>
            <w:noProof/>
            <w:webHidden/>
          </w:rPr>
          <w:tab/>
        </w:r>
        <w:r>
          <w:rPr>
            <w:noProof/>
            <w:webHidden/>
          </w:rPr>
          <w:fldChar w:fldCharType="begin"/>
        </w:r>
        <w:r>
          <w:rPr>
            <w:noProof/>
            <w:webHidden/>
          </w:rPr>
          <w:instrText xml:space="preserve"> PAGEREF _Toc110851961 \h </w:instrText>
        </w:r>
        <w:r>
          <w:rPr>
            <w:noProof/>
            <w:webHidden/>
          </w:rPr>
        </w:r>
        <w:r>
          <w:rPr>
            <w:noProof/>
            <w:webHidden/>
          </w:rPr>
          <w:fldChar w:fldCharType="separate"/>
        </w:r>
        <w:r>
          <w:rPr>
            <w:noProof/>
            <w:webHidden/>
          </w:rPr>
          <w:t>57</w:t>
        </w:r>
        <w:r>
          <w:rPr>
            <w:noProof/>
            <w:webHidden/>
          </w:rPr>
          <w:fldChar w:fldCharType="end"/>
        </w:r>
      </w:hyperlink>
    </w:p>
    <w:p w14:paraId="38F78F6E" w14:textId="0B154F2E" w:rsidR="00632E13" w:rsidRDefault="00632E13">
      <w:pPr>
        <w:pStyle w:val="TOC1"/>
        <w:rPr>
          <w:rFonts w:eastAsiaTheme="minorEastAsia"/>
          <w:b w:val="0"/>
          <w:noProof/>
          <w:color w:val="auto"/>
          <w:sz w:val="22"/>
          <w:szCs w:val="22"/>
          <w:lang w:eastAsia="en-GB"/>
        </w:rPr>
      </w:pPr>
      <w:hyperlink w:anchor="_Toc110851962" w:history="1">
        <w:r w:rsidRPr="00B924BC">
          <w:rPr>
            <w:rStyle w:val="Hyperlink"/>
            <w:noProof/>
          </w:rPr>
          <w:t>10</w:t>
        </w:r>
        <w:r>
          <w:rPr>
            <w:rFonts w:eastAsiaTheme="minorEastAsia"/>
            <w:b w:val="0"/>
            <w:noProof/>
            <w:color w:val="auto"/>
            <w:sz w:val="22"/>
            <w:szCs w:val="22"/>
            <w:lang w:eastAsia="en-GB"/>
          </w:rPr>
          <w:tab/>
        </w:r>
        <w:r w:rsidRPr="00B924BC">
          <w:rPr>
            <w:rStyle w:val="Hyperlink"/>
            <w:noProof/>
          </w:rPr>
          <w:t>Associated Policies, Guidance and Documents</w:t>
        </w:r>
        <w:r>
          <w:rPr>
            <w:noProof/>
            <w:webHidden/>
          </w:rPr>
          <w:tab/>
        </w:r>
        <w:r>
          <w:rPr>
            <w:noProof/>
            <w:webHidden/>
          </w:rPr>
          <w:fldChar w:fldCharType="begin"/>
        </w:r>
        <w:r>
          <w:rPr>
            <w:noProof/>
            <w:webHidden/>
          </w:rPr>
          <w:instrText xml:space="preserve"> PAGEREF _Toc110851962 \h </w:instrText>
        </w:r>
        <w:r>
          <w:rPr>
            <w:noProof/>
            <w:webHidden/>
          </w:rPr>
        </w:r>
        <w:r>
          <w:rPr>
            <w:noProof/>
            <w:webHidden/>
          </w:rPr>
          <w:fldChar w:fldCharType="separate"/>
        </w:r>
        <w:r>
          <w:rPr>
            <w:noProof/>
            <w:webHidden/>
          </w:rPr>
          <w:t>57</w:t>
        </w:r>
        <w:r>
          <w:rPr>
            <w:noProof/>
            <w:webHidden/>
          </w:rPr>
          <w:fldChar w:fldCharType="end"/>
        </w:r>
      </w:hyperlink>
    </w:p>
    <w:p w14:paraId="0C463B9E" w14:textId="54FA9EAE" w:rsidR="00632E13" w:rsidRDefault="00632E13">
      <w:pPr>
        <w:pStyle w:val="TOC1"/>
        <w:rPr>
          <w:rFonts w:eastAsiaTheme="minorEastAsia"/>
          <w:b w:val="0"/>
          <w:noProof/>
          <w:color w:val="auto"/>
          <w:sz w:val="22"/>
          <w:szCs w:val="22"/>
          <w:lang w:eastAsia="en-GB"/>
        </w:rPr>
      </w:pPr>
      <w:hyperlink w:anchor="_Toc110851963" w:history="1">
        <w:r w:rsidRPr="00B924BC">
          <w:rPr>
            <w:rStyle w:val="Hyperlink"/>
            <w:noProof/>
          </w:rPr>
          <w:t>11</w:t>
        </w:r>
        <w:r>
          <w:rPr>
            <w:rFonts w:eastAsiaTheme="minorEastAsia"/>
            <w:b w:val="0"/>
            <w:noProof/>
            <w:color w:val="auto"/>
            <w:sz w:val="22"/>
            <w:szCs w:val="22"/>
            <w:lang w:eastAsia="en-GB"/>
          </w:rPr>
          <w:tab/>
        </w:r>
        <w:r w:rsidRPr="00B924BC">
          <w:rPr>
            <w:rStyle w:val="Hyperlink"/>
            <w:noProof/>
          </w:rPr>
          <w:t>References</w:t>
        </w:r>
        <w:r>
          <w:rPr>
            <w:noProof/>
            <w:webHidden/>
          </w:rPr>
          <w:tab/>
        </w:r>
        <w:r>
          <w:rPr>
            <w:noProof/>
            <w:webHidden/>
          </w:rPr>
          <w:fldChar w:fldCharType="begin"/>
        </w:r>
        <w:r>
          <w:rPr>
            <w:noProof/>
            <w:webHidden/>
          </w:rPr>
          <w:instrText xml:space="preserve"> PAGEREF _Toc110851963 \h </w:instrText>
        </w:r>
        <w:r>
          <w:rPr>
            <w:noProof/>
            <w:webHidden/>
          </w:rPr>
        </w:r>
        <w:r>
          <w:rPr>
            <w:noProof/>
            <w:webHidden/>
          </w:rPr>
          <w:fldChar w:fldCharType="separate"/>
        </w:r>
        <w:r>
          <w:rPr>
            <w:noProof/>
            <w:webHidden/>
          </w:rPr>
          <w:t>58</w:t>
        </w:r>
        <w:r>
          <w:rPr>
            <w:noProof/>
            <w:webHidden/>
          </w:rPr>
          <w:fldChar w:fldCharType="end"/>
        </w:r>
      </w:hyperlink>
    </w:p>
    <w:p w14:paraId="7D69C8E7" w14:textId="35719065" w:rsidR="00632E13" w:rsidRDefault="00632E13">
      <w:pPr>
        <w:pStyle w:val="TOC1"/>
        <w:rPr>
          <w:rFonts w:eastAsiaTheme="minorEastAsia"/>
          <w:b w:val="0"/>
          <w:noProof/>
          <w:color w:val="auto"/>
          <w:sz w:val="22"/>
          <w:szCs w:val="22"/>
          <w:lang w:eastAsia="en-GB"/>
        </w:rPr>
      </w:pPr>
      <w:hyperlink w:anchor="_Toc110851964" w:history="1">
        <w:r w:rsidRPr="00B924BC">
          <w:rPr>
            <w:rStyle w:val="Hyperlink"/>
            <w:noProof/>
          </w:rPr>
          <w:t>12</w:t>
        </w:r>
        <w:r>
          <w:rPr>
            <w:rFonts w:eastAsiaTheme="minorEastAsia"/>
            <w:b w:val="0"/>
            <w:noProof/>
            <w:color w:val="auto"/>
            <w:sz w:val="22"/>
            <w:szCs w:val="22"/>
            <w:lang w:eastAsia="en-GB"/>
          </w:rPr>
          <w:tab/>
        </w:r>
        <w:r w:rsidRPr="00B924BC">
          <w:rPr>
            <w:rStyle w:val="Hyperlink"/>
            <w:noProof/>
          </w:rPr>
          <w:t>Equality Impact Assessment</w:t>
        </w:r>
        <w:r>
          <w:rPr>
            <w:noProof/>
            <w:webHidden/>
          </w:rPr>
          <w:tab/>
        </w:r>
        <w:r>
          <w:rPr>
            <w:noProof/>
            <w:webHidden/>
          </w:rPr>
          <w:fldChar w:fldCharType="begin"/>
        </w:r>
        <w:r>
          <w:rPr>
            <w:noProof/>
            <w:webHidden/>
          </w:rPr>
          <w:instrText xml:space="preserve"> PAGEREF _Toc110851964 \h </w:instrText>
        </w:r>
        <w:r>
          <w:rPr>
            <w:noProof/>
            <w:webHidden/>
          </w:rPr>
        </w:r>
        <w:r>
          <w:rPr>
            <w:noProof/>
            <w:webHidden/>
          </w:rPr>
          <w:fldChar w:fldCharType="separate"/>
        </w:r>
        <w:r>
          <w:rPr>
            <w:noProof/>
            <w:webHidden/>
          </w:rPr>
          <w:t>59</w:t>
        </w:r>
        <w:r>
          <w:rPr>
            <w:noProof/>
            <w:webHidden/>
          </w:rPr>
          <w:fldChar w:fldCharType="end"/>
        </w:r>
      </w:hyperlink>
    </w:p>
    <w:p w14:paraId="5E4D4213" w14:textId="5705BD51" w:rsidR="00632E13" w:rsidRDefault="00632E13">
      <w:pPr>
        <w:pStyle w:val="TOC1"/>
        <w:rPr>
          <w:rFonts w:eastAsiaTheme="minorEastAsia"/>
          <w:b w:val="0"/>
          <w:noProof/>
          <w:color w:val="auto"/>
          <w:sz w:val="22"/>
          <w:szCs w:val="22"/>
          <w:lang w:eastAsia="en-GB"/>
        </w:rPr>
      </w:pPr>
      <w:hyperlink w:anchor="_Toc110851965" w:history="1">
        <w:r w:rsidRPr="00B924BC">
          <w:rPr>
            <w:rStyle w:val="Hyperlink"/>
            <w:noProof/>
          </w:rPr>
          <w:t>Appendix A - Equality Impact Assessment</w:t>
        </w:r>
        <w:r>
          <w:rPr>
            <w:noProof/>
            <w:webHidden/>
          </w:rPr>
          <w:tab/>
        </w:r>
        <w:r>
          <w:rPr>
            <w:noProof/>
            <w:webHidden/>
          </w:rPr>
          <w:fldChar w:fldCharType="begin"/>
        </w:r>
        <w:r>
          <w:rPr>
            <w:noProof/>
            <w:webHidden/>
          </w:rPr>
          <w:instrText xml:space="preserve"> PAGEREF _Toc110851965 \h </w:instrText>
        </w:r>
        <w:r>
          <w:rPr>
            <w:noProof/>
            <w:webHidden/>
          </w:rPr>
        </w:r>
        <w:r>
          <w:rPr>
            <w:noProof/>
            <w:webHidden/>
          </w:rPr>
          <w:fldChar w:fldCharType="separate"/>
        </w:r>
        <w:r>
          <w:rPr>
            <w:noProof/>
            <w:webHidden/>
          </w:rPr>
          <w:t>60</w:t>
        </w:r>
        <w:r>
          <w:rPr>
            <w:noProof/>
            <w:webHidden/>
          </w:rPr>
          <w:fldChar w:fldCharType="end"/>
        </w:r>
      </w:hyperlink>
    </w:p>
    <w:p w14:paraId="35A73D0C" w14:textId="54ECABFE" w:rsidR="00AE3E3F" w:rsidRPr="00030552" w:rsidRDefault="00AE3E3F" w:rsidP="00AE3E3F">
      <w:pPr>
        <w:spacing w:before="0" w:after="0"/>
        <w:ind w:left="0"/>
        <w:rPr>
          <w:rFonts w:asciiTheme="majorHAnsi" w:hAnsiTheme="majorHAnsi" w:cstheme="majorHAnsi"/>
        </w:rPr>
      </w:pPr>
      <w:r w:rsidRPr="00030552">
        <w:rPr>
          <w:rFonts w:asciiTheme="majorHAnsi" w:hAnsiTheme="majorHAnsi" w:cstheme="majorHAnsi"/>
          <w:b/>
          <w:highlight w:val="yellow"/>
        </w:rPr>
        <w:fldChar w:fldCharType="end"/>
      </w:r>
    </w:p>
    <w:p w14:paraId="59065CEE" w14:textId="00A601E6" w:rsidR="00F913CD" w:rsidRPr="0015255F" w:rsidRDefault="00F913CD" w:rsidP="00F913CD">
      <w:pPr>
        <w:pStyle w:val="Heading2"/>
      </w:pPr>
      <w:bookmarkStart w:id="4" w:name="_Toc84611043"/>
      <w:bookmarkStart w:id="5" w:name="_Toc89326544"/>
      <w:bookmarkStart w:id="6" w:name="_Toc94088213"/>
      <w:bookmarkStart w:id="7" w:name="_Toc110851913"/>
      <w:r w:rsidRPr="0015255F">
        <w:t>Introduction</w:t>
      </w:r>
      <w:bookmarkEnd w:id="4"/>
      <w:bookmarkEnd w:id="5"/>
      <w:bookmarkEnd w:id="6"/>
      <w:bookmarkEnd w:id="7"/>
    </w:p>
    <w:p w14:paraId="706DEE45" w14:textId="4EB9FB3F" w:rsidR="00E91A92" w:rsidRDefault="00E91A92" w:rsidP="00E91A92">
      <w:pPr>
        <w:pStyle w:val="Style1"/>
        <w:jc w:val="both"/>
      </w:pPr>
      <w:r>
        <w:t>The Mid and South Essex Integrated Care Board (MSE ICB) has a statutory responsibility to deliver NHS Continuing Healthcare (CHC) and Children and Young People’s Continuing Care (CYPCC) for the population of approximately 1.</w:t>
      </w:r>
      <w:r w:rsidR="005703D7">
        <w:t>4</w:t>
      </w:r>
      <w:r>
        <w:t xml:space="preserve"> million people registered with a General Practitioner (GP) within the ICB’s boundaries.   </w:t>
      </w:r>
    </w:p>
    <w:p w14:paraId="4FE88437" w14:textId="05B7997B" w:rsidR="00CF5DD2" w:rsidRDefault="00CF5DD2" w:rsidP="00E91A92">
      <w:pPr>
        <w:pStyle w:val="Style1"/>
        <w:jc w:val="both"/>
      </w:pPr>
      <w:r>
        <w:t xml:space="preserve">The Children and Young People’s Continuing Care service also includes hosting of CYPCC services on behalf of other NHS commissioning organisations in Essex, outside of the </w:t>
      </w:r>
      <w:r w:rsidR="00D022B0">
        <w:t>M</w:t>
      </w:r>
      <w:r>
        <w:t>id and South Essex IC</w:t>
      </w:r>
      <w:r w:rsidR="00EB1670">
        <w:t>B</w:t>
      </w:r>
      <w:r>
        <w:t xml:space="preserve"> boundaries.   </w:t>
      </w:r>
    </w:p>
    <w:p w14:paraId="422F406C" w14:textId="1153AA35" w:rsidR="001B40BE" w:rsidRDefault="001B40BE" w:rsidP="00E91A92">
      <w:pPr>
        <w:pStyle w:val="Style1"/>
        <w:jc w:val="both"/>
      </w:pPr>
      <w:r>
        <w:t xml:space="preserve">This Policy brings together CHC and CYPCC in a single, All Age Continuing Care Policy. </w:t>
      </w:r>
    </w:p>
    <w:p w14:paraId="152B72F2" w14:textId="726F4A0D" w:rsidR="00BC6324" w:rsidRDefault="00F913CD" w:rsidP="00BC6324">
      <w:pPr>
        <w:pStyle w:val="Heading2"/>
      </w:pPr>
      <w:bookmarkStart w:id="8" w:name="_Toc89326545"/>
      <w:bookmarkStart w:id="9" w:name="_Toc94088214"/>
      <w:bookmarkStart w:id="10" w:name="_Toc110851914"/>
      <w:r w:rsidRPr="0015255F">
        <w:t xml:space="preserve">Purpose / Policy </w:t>
      </w:r>
      <w:r w:rsidRPr="00F913CD">
        <w:t>Statement</w:t>
      </w:r>
      <w:bookmarkEnd w:id="8"/>
      <w:bookmarkEnd w:id="9"/>
      <w:bookmarkEnd w:id="10"/>
    </w:p>
    <w:p w14:paraId="63EDEAD1" w14:textId="20A8D57A" w:rsidR="00E91A92" w:rsidRDefault="00E91A92" w:rsidP="00E91A92">
      <w:pPr>
        <w:pStyle w:val="Style1"/>
        <w:jc w:val="both"/>
      </w:pPr>
      <w:r>
        <w:t>This policy sets out the principles and processes for implementation of the National Framework for Continuing Healthcare and NHS Funded Nursing Care (</w:t>
      </w:r>
      <w:r w:rsidR="004B436F">
        <w:t xml:space="preserve">July </w:t>
      </w:r>
      <w:r>
        <w:t>20</w:t>
      </w:r>
      <w:r w:rsidR="004B436F">
        <w:t>22</w:t>
      </w:r>
      <w:r>
        <w:t xml:space="preserve">) and the National Framework for Children and Young People’s Continuing Care (2016), hereinafter referred to as the National Framework(s).  </w:t>
      </w:r>
    </w:p>
    <w:p w14:paraId="6B9B92BE" w14:textId="4AF3E68E" w:rsidR="00CF5DD2" w:rsidRDefault="00CF5DD2" w:rsidP="00E91A92">
      <w:pPr>
        <w:pStyle w:val="Style1"/>
        <w:jc w:val="both"/>
      </w:pPr>
      <w:r>
        <w:t xml:space="preserve">It is expected that readers of this policy will already be familiar with the content of the relevant National Frameworks. This policy avoids inclusion of </w:t>
      </w:r>
      <w:r w:rsidR="00D1473A">
        <w:t xml:space="preserve">the in-depth explanatory text from those National </w:t>
      </w:r>
      <w:r w:rsidR="00AD651B">
        <w:t>F</w:t>
      </w:r>
      <w:r w:rsidR="00D1473A">
        <w:t xml:space="preserve">rameworks wherever possible, </w:t>
      </w:r>
      <w:r>
        <w:t>to keep this policy to a reasonable length.</w:t>
      </w:r>
    </w:p>
    <w:p w14:paraId="33D9D5BD" w14:textId="7CFFDEC6" w:rsidR="00F913CD" w:rsidRDefault="009E4D57" w:rsidP="001B46E9">
      <w:pPr>
        <w:pStyle w:val="Heading2"/>
        <w:jc w:val="both"/>
      </w:pPr>
      <w:bookmarkStart w:id="11" w:name="_Toc89326546"/>
      <w:bookmarkStart w:id="12" w:name="_Toc94088215"/>
      <w:bookmarkStart w:id="13" w:name="_Toc110851915"/>
      <w:r>
        <w:t>Scope</w:t>
      </w:r>
      <w:bookmarkEnd w:id="11"/>
      <w:bookmarkEnd w:id="12"/>
      <w:bookmarkEnd w:id="13"/>
    </w:p>
    <w:p w14:paraId="4F57360D" w14:textId="35CDDBA2" w:rsidR="001B46E9" w:rsidRDefault="00B9694F" w:rsidP="00B9694F">
      <w:pPr>
        <w:ind w:hanging="1134"/>
        <w:jc w:val="both"/>
      </w:pPr>
      <w:r>
        <w:t>3.1</w:t>
      </w:r>
      <w:r>
        <w:tab/>
      </w:r>
      <w:r w:rsidR="001B46E9">
        <w:t xml:space="preserve">This Operational Policy applies to </w:t>
      </w:r>
      <w:r w:rsidR="00741B93">
        <w:t xml:space="preserve">Mid and South Essex (MSE) Integrated Care Board (ICB) members and staff (including temporary / bank / agency / work experience staff, students and volunteers) for </w:t>
      </w:r>
      <w:r w:rsidR="001B46E9">
        <w:t xml:space="preserve">the AACC operational teams, whether in the Business Unit or at Place. This policy </w:t>
      </w:r>
      <w:r w:rsidR="001F71F6">
        <w:t xml:space="preserve">interacts with some Provider and Local Authority </w:t>
      </w:r>
      <w:r w:rsidR="00AD651B">
        <w:t xml:space="preserve">(LA) </w:t>
      </w:r>
      <w:r w:rsidR="001F71F6">
        <w:t xml:space="preserve">activity in contributing to assessments for AACC, and although it </w:t>
      </w:r>
      <w:r w:rsidR="001B46E9">
        <w:t>is not binding upon other organisations and contractors, it may set out best practice that will facilitate effective joint working.</w:t>
      </w:r>
    </w:p>
    <w:p w14:paraId="719ACBDA" w14:textId="1D268BB4" w:rsidR="00544FA6" w:rsidRPr="00544FA6" w:rsidRDefault="00544FA6" w:rsidP="00544FA6">
      <w:pPr>
        <w:pStyle w:val="Heading2"/>
      </w:pPr>
      <w:bookmarkStart w:id="14" w:name="_Toc94088216"/>
      <w:bookmarkStart w:id="15" w:name="_Toc110851916"/>
      <w:r w:rsidRPr="0015255F">
        <w:t>Definitions</w:t>
      </w:r>
      <w:bookmarkEnd w:id="14"/>
      <w:bookmarkEnd w:id="15"/>
    </w:p>
    <w:tbl>
      <w:tblPr>
        <w:tblStyle w:val="TableGrid"/>
        <w:tblW w:w="0" w:type="auto"/>
        <w:tblInd w:w="-5" w:type="dxa"/>
        <w:tblLook w:val="04A0" w:firstRow="1" w:lastRow="0" w:firstColumn="1" w:lastColumn="0" w:noHBand="0" w:noVBand="1"/>
      </w:tblPr>
      <w:tblGrid>
        <w:gridCol w:w="1827"/>
        <w:gridCol w:w="1804"/>
        <w:gridCol w:w="5390"/>
      </w:tblGrid>
      <w:tr w:rsidR="008C0562" w14:paraId="5DDCF1CA" w14:textId="77777777" w:rsidTr="00D47E0E">
        <w:trPr>
          <w:tblHeader/>
        </w:trPr>
        <w:tc>
          <w:tcPr>
            <w:tcW w:w="1827" w:type="dxa"/>
          </w:tcPr>
          <w:p w14:paraId="48E7F526" w14:textId="77777777" w:rsidR="008C0562" w:rsidRPr="008C0562" w:rsidRDefault="008C0562" w:rsidP="00480B93">
            <w:pPr>
              <w:keepNext/>
              <w:ind w:left="0"/>
              <w:rPr>
                <w:rFonts w:ascii="Arial" w:hAnsi="Arial" w:cs="Arial"/>
                <w:b/>
                <w:bCs/>
              </w:rPr>
            </w:pPr>
            <w:bookmarkStart w:id="16" w:name="_Toc89326547"/>
            <w:bookmarkStart w:id="17" w:name="_Toc94088217"/>
            <w:r w:rsidRPr="008C0562">
              <w:rPr>
                <w:rFonts w:ascii="Arial" w:hAnsi="Arial" w:cs="Arial"/>
                <w:b/>
                <w:bCs/>
              </w:rPr>
              <w:t>Term</w:t>
            </w:r>
          </w:p>
        </w:tc>
        <w:tc>
          <w:tcPr>
            <w:tcW w:w="1804" w:type="dxa"/>
          </w:tcPr>
          <w:p w14:paraId="05B4975D" w14:textId="77777777" w:rsidR="008C0562" w:rsidRPr="008C0562" w:rsidRDefault="008C0562" w:rsidP="00480B93">
            <w:pPr>
              <w:keepNext/>
              <w:ind w:left="0"/>
              <w:rPr>
                <w:rFonts w:ascii="Arial" w:hAnsi="Arial" w:cs="Arial"/>
                <w:b/>
                <w:bCs/>
              </w:rPr>
            </w:pPr>
            <w:r w:rsidRPr="008C0562">
              <w:rPr>
                <w:rFonts w:ascii="Arial" w:hAnsi="Arial" w:cs="Arial"/>
                <w:b/>
                <w:bCs/>
              </w:rPr>
              <w:t>Acronym</w:t>
            </w:r>
          </w:p>
        </w:tc>
        <w:tc>
          <w:tcPr>
            <w:tcW w:w="5390" w:type="dxa"/>
          </w:tcPr>
          <w:p w14:paraId="7C1F751E" w14:textId="77777777" w:rsidR="008C0562" w:rsidRPr="008C0562" w:rsidRDefault="008C0562" w:rsidP="00480B93">
            <w:pPr>
              <w:keepNext/>
              <w:ind w:left="0"/>
              <w:rPr>
                <w:rFonts w:ascii="Arial" w:hAnsi="Arial" w:cs="Arial"/>
                <w:b/>
                <w:bCs/>
              </w:rPr>
            </w:pPr>
            <w:r w:rsidRPr="008C0562">
              <w:rPr>
                <w:rFonts w:ascii="Arial" w:hAnsi="Arial" w:cs="Arial"/>
                <w:b/>
                <w:bCs/>
              </w:rPr>
              <w:t>Definition</w:t>
            </w:r>
          </w:p>
        </w:tc>
      </w:tr>
      <w:tr w:rsidR="008C0562" w14:paraId="3B0B38D2" w14:textId="77777777" w:rsidTr="000C04BC">
        <w:tc>
          <w:tcPr>
            <w:tcW w:w="1827" w:type="dxa"/>
          </w:tcPr>
          <w:p w14:paraId="0034AFD3" w14:textId="77777777" w:rsidR="008C0562" w:rsidRPr="00ED1931" w:rsidRDefault="008C0562" w:rsidP="00AE3E3F">
            <w:pPr>
              <w:ind w:left="0"/>
              <w:rPr>
                <w:rFonts w:ascii="Arial" w:hAnsi="Arial" w:cs="Arial"/>
              </w:rPr>
            </w:pPr>
            <w:r w:rsidRPr="00ED1931">
              <w:rPr>
                <w:rFonts w:ascii="Arial" w:hAnsi="Arial" w:cs="Arial"/>
              </w:rPr>
              <w:t>All-Age Continuing Care</w:t>
            </w:r>
          </w:p>
        </w:tc>
        <w:tc>
          <w:tcPr>
            <w:tcW w:w="1804" w:type="dxa"/>
          </w:tcPr>
          <w:p w14:paraId="0049D22D" w14:textId="77777777" w:rsidR="008C0562" w:rsidRPr="00ED1931" w:rsidRDefault="008C0562" w:rsidP="00AE3E3F">
            <w:pPr>
              <w:ind w:left="0"/>
              <w:rPr>
                <w:rFonts w:ascii="Arial" w:hAnsi="Arial" w:cs="Arial"/>
              </w:rPr>
            </w:pPr>
            <w:r w:rsidRPr="00ED1931">
              <w:rPr>
                <w:rFonts w:ascii="Arial" w:hAnsi="Arial" w:cs="Arial"/>
              </w:rPr>
              <w:t>AACC</w:t>
            </w:r>
          </w:p>
        </w:tc>
        <w:tc>
          <w:tcPr>
            <w:tcW w:w="5390" w:type="dxa"/>
          </w:tcPr>
          <w:p w14:paraId="2B10B562" w14:textId="77777777" w:rsidR="008C0562" w:rsidRPr="00ED1931" w:rsidRDefault="008C0562" w:rsidP="00AE3E3F">
            <w:pPr>
              <w:ind w:left="0"/>
              <w:rPr>
                <w:rFonts w:ascii="Arial" w:hAnsi="Arial" w:cs="Arial"/>
              </w:rPr>
            </w:pPr>
            <w:r w:rsidRPr="00ED1931">
              <w:rPr>
                <w:rFonts w:ascii="Arial" w:hAnsi="Arial" w:cs="Arial"/>
              </w:rPr>
              <w:t>A combined approach to the delivery of NHS CHC and CYPCC, a development by NHS England’s CHC Strategic Improvement Programme, promoting integration of those services.</w:t>
            </w:r>
          </w:p>
        </w:tc>
      </w:tr>
      <w:tr w:rsidR="008C0562" w14:paraId="2E73C49C" w14:textId="77777777" w:rsidTr="000C04BC">
        <w:tc>
          <w:tcPr>
            <w:tcW w:w="1827" w:type="dxa"/>
          </w:tcPr>
          <w:p w14:paraId="388FA85E" w14:textId="77777777" w:rsidR="008C0562" w:rsidRPr="00ED1931" w:rsidRDefault="008C0562" w:rsidP="00AE3E3F">
            <w:pPr>
              <w:ind w:left="0"/>
              <w:rPr>
                <w:rFonts w:ascii="Arial" w:hAnsi="Arial" w:cs="Arial"/>
              </w:rPr>
            </w:pPr>
            <w:r>
              <w:rPr>
                <w:rFonts w:ascii="Arial" w:hAnsi="Arial" w:cs="Arial"/>
              </w:rPr>
              <w:t>Accessible Information Standard</w:t>
            </w:r>
          </w:p>
        </w:tc>
        <w:tc>
          <w:tcPr>
            <w:tcW w:w="1804" w:type="dxa"/>
          </w:tcPr>
          <w:p w14:paraId="7A3AF8A9" w14:textId="77777777" w:rsidR="008C0562" w:rsidRPr="00ED1931" w:rsidRDefault="008C0562" w:rsidP="00AE3E3F">
            <w:pPr>
              <w:ind w:left="0"/>
              <w:rPr>
                <w:rFonts w:ascii="Arial" w:hAnsi="Arial" w:cs="Arial"/>
              </w:rPr>
            </w:pPr>
            <w:r>
              <w:rPr>
                <w:rFonts w:ascii="Arial" w:hAnsi="Arial" w:cs="Arial"/>
              </w:rPr>
              <w:t>AIS</w:t>
            </w:r>
          </w:p>
        </w:tc>
        <w:tc>
          <w:tcPr>
            <w:tcW w:w="5390" w:type="dxa"/>
          </w:tcPr>
          <w:p w14:paraId="4362556B" w14:textId="67EC876F" w:rsidR="008C0562" w:rsidRPr="008C27BA" w:rsidRDefault="008C0562" w:rsidP="00AE3E3F">
            <w:pPr>
              <w:ind w:left="0"/>
              <w:rPr>
                <w:rFonts w:ascii="Arial" w:hAnsi="Arial" w:cs="Arial"/>
              </w:rPr>
            </w:pPr>
            <w:r>
              <w:rPr>
                <w:rFonts w:ascii="Arial" w:hAnsi="Arial" w:cs="Arial"/>
              </w:rPr>
              <w:t xml:space="preserve">The </w:t>
            </w:r>
            <w:r w:rsidRPr="008C27BA">
              <w:rPr>
                <w:rFonts w:ascii="Arial" w:hAnsi="Arial" w:cs="Arial"/>
              </w:rPr>
              <w:t xml:space="preserve">Accessible Information Standard sets out a specific, consistent approach to identifying, recording, flagging, sharing and meeting the information and communication support needs of </w:t>
            </w:r>
            <w:r w:rsidR="002148CE">
              <w:rPr>
                <w:rFonts w:ascii="Arial" w:hAnsi="Arial" w:cs="Arial"/>
              </w:rPr>
              <w:t>individual</w:t>
            </w:r>
            <w:r w:rsidRPr="008C27BA">
              <w:rPr>
                <w:rFonts w:ascii="Arial" w:hAnsi="Arial" w:cs="Arial"/>
              </w:rPr>
              <w:t xml:space="preserve">s, service users, carers and parents with a disability, impairment or sensory loss. </w:t>
            </w:r>
          </w:p>
        </w:tc>
      </w:tr>
      <w:tr w:rsidR="008C0562" w14:paraId="51DF68B6" w14:textId="77777777" w:rsidTr="000C04BC">
        <w:tc>
          <w:tcPr>
            <w:tcW w:w="1827" w:type="dxa"/>
          </w:tcPr>
          <w:p w14:paraId="2A4A6D3D" w14:textId="77777777" w:rsidR="008C0562" w:rsidRDefault="008C0562" w:rsidP="00AE3E3F">
            <w:pPr>
              <w:ind w:left="0"/>
              <w:rPr>
                <w:rFonts w:ascii="Arial" w:hAnsi="Arial" w:cs="Arial"/>
              </w:rPr>
            </w:pPr>
            <w:r>
              <w:rPr>
                <w:rFonts w:ascii="Arial" w:hAnsi="Arial" w:cs="Arial"/>
              </w:rPr>
              <w:t>Best Interests</w:t>
            </w:r>
          </w:p>
        </w:tc>
        <w:tc>
          <w:tcPr>
            <w:tcW w:w="1804" w:type="dxa"/>
          </w:tcPr>
          <w:p w14:paraId="044D8B77" w14:textId="77777777" w:rsidR="008C0562" w:rsidRDefault="008C0562" w:rsidP="00AE3E3F">
            <w:pPr>
              <w:ind w:left="0"/>
              <w:rPr>
                <w:rFonts w:ascii="Arial" w:hAnsi="Arial" w:cs="Arial"/>
              </w:rPr>
            </w:pPr>
            <w:r>
              <w:rPr>
                <w:rFonts w:ascii="Arial" w:hAnsi="Arial" w:cs="Arial"/>
              </w:rPr>
              <w:t>BI</w:t>
            </w:r>
          </w:p>
        </w:tc>
        <w:tc>
          <w:tcPr>
            <w:tcW w:w="5390" w:type="dxa"/>
          </w:tcPr>
          <w:p w14:paraId="2DEC0097" w14:textId="50B8D3F0" w:rsidR="008C0562" w:rsidRDefault="00002980" w:rsidP="00AE3E3F">
            <w:pPr>
              <w:ind w:left="0"/>
              <w:rPr>
                <w:rFonts w:ascii="Arial" w:hAnsi="Arial" w:cs="Arial"/>
              </w:rPr>
            </w:pPr>
            <w:r>
              <w:rPr>
                <w:rFonts w:ascii="Arial" w:hAnsi="Arial" w:cs="Arial"/>
              </w:rPr>
              <w:t>A</w:t>
            </w:r>
            <w:r w:rsidRPr="00002980">
              <w:rPr>
                <w:rFonts w:ascii="Arial" w:hAnsi="Arial" w:cs="Arial"/>
              </w:rPr>
              <w:t xml:space="preserve"> statutory principle set out in </w:t>
            </w:r>
            <w:r w:rsidR="00FC1B55">
              <w:rPr>
                <w:rFonts w:ascii="Arial" w:hAnsi="Arial" w:cs="Arial"/>
              </w:rPr>
              <w:t>S</w:t>
            </w:r>
            <w:r w:rsidRPr="00002980">
              <w:rPr>
                <w:rFonts w:ascii="Arial" w:hAnsi="Arial" w:cs="Arial"/>
              </w:rPr>
              <w:t>ection 4 of the Mental Capacity Act. It states that 'Any act done, or a decision made, under this Act or on behalf of a person who lacks capacity must be done, or made, in his best interests'.</w:t>
            </w:r>
          </w:p>
        </w:tc>
      </w:tr>
      <w:tr w:rsidR="008C0562" w14:paraId="4CCA0C2D" w14:textId="77777777" w:rsidTr="000C04BC">
        <w:tc>
          <w:tcPr>
            <w:tcW w:w="1827" w:type="dxa"/>
          </w:tcPr>
          <w:p w14:paraId="01EB028D" w14:textId="77777777" w:rsidR="008C0562" w:rsidRDefault="008C0562" w:rsidP="00AE3E3F">
            <w:pPr>
              <w:ind w:left="0"/>
              <w:rPr>
                <w:rFonts w:ascii="Arial" w:hAnsi="Arial" w:cs="Arial"/>
              </w:rPr>
            </w:pPr>
            <w:r>
              <w:rPr>
                <w:rFonts w:ascii="Arial" w:hAnsi="Arial" w:cs="Arial"/>
              </w:rPr>
              <w:t>Care Quality Commission</w:t>
            </w:r>
          </w:p>
        </w:tc>
        <w:tc>
          <w:tcPr>
            <w:tcW w:w="1804" w:type="dxa"/>
          </w:tcPr>
          <w:p w14:paraId="2FCD7AFE" w14:textId="77777777" w:rsidR="008C0562" w:rsidRDefault="008C0562" w:rsidP="00AE3E3F">
            <w:pPr>
              <w:ind w:left="0"/>
              <w:rPr>
                <w:rFonts w:ascii="Arial" w:hAnsi="Arial" w:cs="Arial"/>
              </w:rPr>
            </w:pPr>
            <w:r>
              <w:rPr>
                <w:rFonts w:ascii="Arial" w:hAnsi="Arial" w:cs="Arial"/>
              </w:rPr>
              <w:t>CQC</w:t>
            </w:r>
          </w:p>
        </w:tc>
        <w:tc>
          <w:tcPr>
            <w:tcW w:w="5390" w:type="dxa"/>
          </w:tcPr>
          <w:p w14:paraId="78F43CB6" w14:textId="29BB26AE" w:rsidR="008C0562" w:rsidRDefault="00002980" w:rsidP="00AE3E3F">
            <w:pPr>
              <w:ind w:left="0"/>
              <w:rPr>
                <w:rFonts w:ascii="Arial" w:hAnsi="Arial" w:cs="Arial"/>
              </w:rPr>
            </w:pPr>
            <w:r w:rsidRPr="00002980">
              <w:rPr>
                <w:rFonts w:ascii="Arial" w:hAnsi="Arial" w:cs="Arial"/>
              </w:rPr>
              <w:t>The independent regulator of all health and social care services in England.</w:t>
            </w:r>
            <w:r>
              <w:rPr>
                <w:rFonts w:ascii="Arial" w:hAnsi="Arial" w:cs="Arial"/>
                <w:color w:val="4D5156"/>
                <w:sz w:val="21"/>
                <w:szCs w:val="21"/>
                <w:shd w:val="clear" w:color="auto" w:fill="FFFFFF"/>
              </w:rPr>
              <w:t> </w:t>
            </w:r>
          </w:p>
        </w:tc>
      </w:tr>
      <w:tr w:rsidR="008C0562" w14:paraId="25B39597" w14:textId="77777777" w:rsidTr="000C04BC">
        <w:tc>
          <w:tcPr>
            <w:tcW w:w="1827" w:type="dxa"/>
          </w:tcPr>
          <w:p w14:paraId="7E41F023" w14:textId="77777777" w:rsidR="008C0562" w:rsidRDefault="008C0562" w:rsidP="00AE3E3F">
            <w:pPr>
              <w:ind w:left="0"/>
              <w:rPr>
                <w:rFonts w:ascii="Arial" w:hAnsi="Arial" w:cs="Arial"/>
              </w:rPr>
            </w:pPr>
            <w:r>
              <w:rPr>
                <w:rFonts w:ascii="Arial" w:hAnsi="Arial" w:cs="Arial"/>
              </w:rPr>
              <w:t>Checklist</w:t>
            </w:r>
          </w:p>
        </w:tc>
        <w:tc>
          <w:tcPr>
            <w:tcW w:w="1804" w:type="dxa"/>
          </w:tcPr>
          <w:p w14:paraId="42A66E18" w14:textId="77777777" w:rsidR="008C0562" w:rsidRDefault="008C0562" w:rsidP="00AE3E3F">
            <w:pPr>
              <w:ind w:left="0"/>
              <w:rPr>
                <w:rFonts w:ascii="Arial" w:hAnsi="Arial" w:cs="Arial"/>
              </w:rPr>
            </w:pPr>
          </w:p>
        </w:tc>
        <w:tc>
          <w:tcPr>
            <w:tcW w:w="5390" w:type="dxa"/>
          </w:tcPr>
          <w:p w14:paraId="05DA6078" w14:textId="14193DBA" w:rsidR="008C0562" w:rsidRDefault="00D70CCC" w:rsidP="00AE3E3F">
            <w:pPr>
              <w:ind w:left="0"/>
              <w:rPr>
                <w:rFonts w:ascii="Arial" w:hAnsi="Arial" w:cs="Arial"/>
              </w:rPr>
            </w:pPr>
            <w:r>
              <w:rPr>
                <w:rFonts w:ascii="Arial" w:hAnsi="Arial" w:cs="Arial"/>
              </w:rPr>
              <w:t>A screening tool designed to indicate whether or not full assessment of eligibility for NHS funding is required.</w:t>
            </w:r>
          </w:p>
        </w:tc>
      </w:tr>
      <w:tr w:rsidR="008C0562" w14:paraId="02658B80" w14:textId="77777777" w:rsidTr="000C04BC">
        <w:tc>
          <w:tcPr>
            <w:tcW w:w="1827" w:type="dxa"/>
          </w:tcPr>
          <w:p w14:paraId="757E8BF5" w14:textId="77777777" w:rsidR="008C0562" w:rsidRDefault="008C0562" w:rsidP="00AE3E3F">
            <w:pPr>
              <w:ind w:left="0"/>
              <w:rPr>
                <w:rFonts w:ascii="Arial" w:hAnsi="Arial" w:cs="Arial"/>
              </w:rPr>
            </w:pPr>
            <w:r>
              <w:rPr>
                <w:rFonts w:ascii="Arial" w:hAnsi="Arial" w:cs="Arial"/>
              </w:rPr>
              <w:t>CHC Competency Framework</w:t>
            </w:r>
          </w:p>
        </w:tc>
        <w:tc>
          <w:tcPr>
            <w:tcW w:w="1804" w:type="dxa"/>
          </w:tcPr>
          <w:p w14:paraId="12CC287F" w14:textId="77777777" w:rsidR="008C0562" w:rsidRDefault="008C0562" w:rsidP="00AE3E3F">
            <w:pPr>
              <w:ind w:left="0"/>
              <w:rPr>
                <w:rFonts w:ascii="Arial" w:hAnsi="Arial" w:cs="Arial"/>
              </w:rPr>
            </w:pPr>
          </w:p>
        </w:tc>
        <w:tc>
          <w:tcPr>
            <w:tcW w:w="5390" w:type="dxa"/>
          </w:tcPr>
          <w:p w14:paraId="3D3A5898" w14:textId="33862090" w:rsidR="008C0562" w:rsidRDefault="00D70CCC" w:rsidP="00AE3E3F">
            <w:pPr>
              <w:ind w:left="0"/>
              <w:rPr>
                <w:rFonts w:ascii="Arial" w:hAnsi="Arial" w:cs="Arial"/>
              </w:rPr>
            </w:pPr>
            <w:r>
              <w:rPr>
                <w:rFonts w:ascii="Arial" w:hAnsi="Arial" w:cs="Arial"/>
              </w:rPr>
              <w:t>A suite of staff training modules relating to implementation of the National Framework for Continuing Healthcare and NHS Funded Nursing Care</w:t>
            </w:r>
          </w:p>
        </w:tc>
      </w:tr>
      <w:tr w:rsidR="008C0562" w14:paraId="095D7913" w14:textId="77777777" w:rsidTr="000C04BC">
        <w:tc>
          <w:tcPr>
            <w:tcW w:w="1827" w:type="dxa"/>
          </w:tcPr>
          <w:p w14:paraId="0CA55D88" w14:textId="77777777" w:rsidR="008C0562" w:rsidRDefault="008C0562" w:rsidP="00AE3E3F">
            <w:pPr>
              <w:ind w:left="0"/>
              <w:rPr>
                <w:rFonts w:ascii="Arial" w:hAnsi="Arial" w:cs="Arial"/>
              </w:rPr>
            </w:pPr>
            <w:r w:rsidRPr="00ED1931">
              <w:rPr>
                <w:rFonts w:ascii="Arial" w:hAnsi="Arial" w:cs="Arial"/>
              </w:rPr>
              <w:t xml:space="preserve">Children and Young People’s Continuing Care </w:t>
            </w:r>
          </w:p>
        </w:tc>
        <w:tc>
          <w:tcPr>
            <w:tcW w:w="1804" w:type="dxa"/>
          </w:tcPr>
          <w:p w14:paraId="3F01EE72" w14:textId="77777777" w:rsidR="008C0562" w:rsidRDefault="008C0562" w:rsidP="00AE3E3F">
            <w:pPr>
              <w:ind w:left="0"/>
              <w:rPr>
                <w:rFonts w:ascii="Arial" w:hAnsi="Arial" w:cs="Arial"/>
              </w:rPr>
            </w:pPr>
            <w:r w:rsidRPr="00ED1931">
              <w:rPr>
                <w:rFonts w:ascii="Arial" w:hAnsi="Arial" w:cs="Arial"/>
              </w:rPr>
              <w:t>CYPCC</w:t>
            </w:r>
          </w:p>
        </w:tc>
        <w:tc>
          <w:tcPr>
            <w:tcW w:w="5390" w:type="dxa"/>
          </w:tcPr>
          <w:p w14:paraId="48255330" w14:textId="7814AB20" w:rsidR="008C0562" w:rsidRPr="00ED1931" w:rsidRDefault="008C0562" w:rsidP="00AE3E3F">
            <w:pPr>
              <w:autoSpaceDE w:val="0"/>
              <w:autoSpaceDN w:val="0"/>
              <w:adjustRightInd w:val="0"/>
              <w:spacing w:after="120"/>
              <w:ind w:left="0"/>
              <w:rPr>
                <w:rFonts w:ascii="Arial" w:hAnsi="Arial" w:cs="Arial"/>
              </w:rPr>
            </w:pPr>
            <w:r w:rsidRPr="00ED1931">
              <w:rPr>
                <w:rFonts w:ascii="Arial" w:hAnsi="Arial" w:cs="Arial"/>
              </w:rPr>
              <w:t xml:space="preserve">Continuing Care is a general term that describes a tailor-made package of care which is required over an extended period of time for children and young people with complex health needs which arise because of disability, accident or illness (including life limiting or </w:t>
            </w:r>
            <w:r w:rsidR="00D022B0" w:rsidRPr="00ED1931">
              <w:rPr>
                <w:rFonts w:ascii="Arial" w:hAnsi="Arial" w:cs="Arial"/>
              </w:rPr>
              <w:t>life-threatening</w:t>
            </w:r>
            <w:r w:rsidRPr="00ED1931">
              <w:rPr>
                <w:rFonts w:ascii="Arial" w:hAnsi="Arial" w:cs="Arial"/>
              </w:rPr>
              <w:t xml:space="preserve"> conditions). </w:t>
            </w:r>
          </w:p>
          <w:p w14:paraId="5AF52370" w14:textId="77777777" w:rsidR="008C0562" w:rsidRDefault="008C0562" w:rsidP="00AE3E3F">
            <w:pPr>
              <w:ind w:left="0"/>
              <w:rPr>
                <w:rFonts w:ascii="Arial" w:hAnsi="Arial" w:cs="Arial"/>
              </w:rPr>
            </w:pPr>
            <w:r w:rsidRPr="00ED1931">
              <w:rPr>
                <w:rFonts w:ascii="Arial" w:hAnsi="Arial" w:cs="Arial"/>
              </w:rPr>
              <w:t>Continuing Care may be provided for children and young people whose health needs cannot be met by existing universal, targeted or specialist health services. The aim of the care package is to support the child/young person’s parent (s) and/ or carers to manage their child/young person’s care at home and/or in other settings. It may require the provision of services from the NHS, social care, education, or other organisations to enable the child/young person’s parent (s) and/ or carers to be appropriately supported in their community.</w:t>
            </w:r>
          </w:p>
        </w:tc>
      </w:tr>
      <w:tr w:rsidR="008C0562" w14:paraId="1EFEE34A" w14:textId="77777777" w:rsidTr="000C04BC">
        <w:tc>
          <w:tcPr>
            <w:tcW w:w="1827" w:type="dxa"/>
          </w:tcPr>
          <w:p w14:paraId="47750299" w14:textId="77777777" w:rsidR="008C0562" w:rsidRPr="00ED1931" w:rsidRDefault="008C0562" w:rsidP="00AE3E3F">
            <w:pPr>
              <w:ind w:left="0"/>
              <w:rPr>
                <w:rFonts w:ascii="Arial" w:hAnsi="Arial" w:cs="Arial"/>
              </w:rPr>
            </w:pPr>
            <w:r w:rsidRPr="00ED1931">
              <w:rPr>
                <w:rFonts w:ascii="Arial" w:hAnsi="Arial" w:cs="Arial"/>
              </w:rPr>
              <w:t xml:space="preserve">Continuing Healthcare </w:t>
            </w:r>
          </w:p>
        </w:tc>
        <w:tc>
          <w:tcPr>
            <w:tcW w:w="1804" w:type="dxa"/>
          </w:tcPr>
          <w:p w14:paraId="6EF17774" w14:textId="77777777" w:rsidR="008C0562" w:rsidRPr="00ED1931" w:rsidRDefault="008C0562" w:rsidP="00AE3E3F">
            <w:pPr>
              <w:ind w:left="0"/>
              <w:rPr>
                <w:rFonts w:ascii="Arial" w:hAnsi="Arial" w:cs="Arial"/>
              </w:rPr>
            </w:pPr>
            <w:r w:rsidRPr="00ED1931">
              <w:rPr>
                <w:rFonts w:ascii="Arial" w:hAnsi="Arial" w:cs="Arial"/>
              </w:rPr>
              <w:t>CHC</w:t>
            </w:r>
          </w:p>
        </w:tc>
        <w:tc>
          <w:tcPr>
            <w:tcW w:w="5390" w:type="dxa"/>
          </w:tcPr>
          <w:p w14:paraId="40808F1B" w14:textId="77777777" w:rsidR="008C0562" w:rsidRPr="00ED1931" w:rsidRDefault="008C0562" w:rsidP="00AE3E3F">
            <w:pPr>
              <w:pStyle w:val="Style1"/>
              <w:numPr>
                <w:ilvl w:val="0"/>
                <w:numId w:val="0"/>
              </w:numPr>
              <w:rPr>
                <w:rFonts w:ascii="Arial" w:hAnsi="Arial" w:cs="Arial"/>
              </w:rPr>
            </w:pPr>
            <w:r w:rsidRPr="00ED1931">
              <w:rPr>
                <w:rFonts w:ascii="Arial" w:hAnsi="Arial" w:cs="Arial"/>
              </w:rPr>
              <w:t>A package of ongoing care that is arranged and funded solely by the NHS where the individual has been assessed and found to have a ‘primary health need’ as set out in this National Framework. Such care is provided to an individual aged 18 or over, to meet health and associated social care needs that have arisen as a result of disability, accident or illness. Eligibility for NHS CHC is not determined by the setting in which the package of support can be offered or by the type of service delivery.</w:t>
            </w:r>
          </w:p>
        </w:tc>
      </w:tr>
      <w:tr w:rsidR="008C0562" w14:paraId="1C856E9F" w14:textId="77777777" w:rsidTr="000C04BC">
        <w:tc>
          <w:tcPr>
            <w:tcW w:w="1827" w:type="dxa"/>
          </w:tcPr>
          <w:p w14:paraId="3362579D" w14:textId="77777777" w:rsidR="008C0562" w:rsidRPr="00ED1931" w:rsidRDefault="008C0562" w:rsidP="00AE3E3F">
            <w:pPr>
              <w:ind w:left="0"/>
              <w:rPr>
                <w:rFonts w:ascii="Arial" w:hAnsi="Arial" w:cs="Arial"/>
              </w:rPr>
            </w:pPr>
            <w:r>
              <w:rPr>
                <w:rFonts w:ascii="Arial" w:hAnsi="Arial" w:cs="Arial"/>
              </w:rPr>
              <w:t>Court of Protection Deputy</w:t>
            </w:r>
          </w:p>
        </w:tc>
        <w:tc>
          <w:tcPr>
            <w:tcW w:w="1804" w:type="dxa"/>
          </w:tcPr>
          <w:p w14:paraId="5EC7F1AF" w14:textId="77777777" w:rsidR="008C0562" w:rsidRPr="00ED1931" w:rsidRDefault="008C0562" w:rsidP="00AE3E3F">
            <w:pPr>
              <w:ind w:left="0"/>
              <w:rPr>
                <w:rFonts w:ascii="Arial" w:hAnsi="Arial" w:cs="Arial"/>
              </w:rPr>
            </w:pPr>
          </w:p>
        </w:tc>
        <w:tc>
          <w:tcPr>
            <w:tcW w:w="5390" w:type="dxa"/>
          </w:tcPr>
          <w:p w14:paraId="378FA3A3" w14:textId="4E4B9611" w:rsidR="008C0562" w:rsidRPr="001D4062" w:rsidRDefault="001D4062" w:rsidP="001D4062">
            <w:pPr>
              <w:shd w:val="clear" w:color="auto" w:fill="FFFFFF"/>
              <w:spacing w:before="120" w:after="120"/>
              <w:ind w:left="0"/>
              <w:rPr>
                <w:rFonts w:ascii="Arial" w:eastAsiaTheme="majorEastAsia" w:hAnsi="Arial" w:cs="Arial"/>
              </w:rPr>
            </w:pPr>
            <w:r>
              <w:rPr>
                <w:rFonts w:ascii="Arial" w:eastAsiaTheme="majorEastAsia" w:hAnsi="Arial" w:cs="Arial"/>
              </w:rPr>
              <w:t xml:space="preserve">An </w:t>
            </w:r>
            <w:r w:rsidRPr="001D4062">
              <w:rPr>
                <w:rFonts w:ascii="Arial" w:eastAsiaTheme="majorEastAsia" w:hAnsi="Arial" w:cs="Arial"/>
              </w:rPr>
              <w:t>authoris</w:t>
            </w:r>
            <w:r>
              <w:rPr>
                <w:rFonts w:ascii="Arial" w:eastAsiaTheme="majorEastAsia" w:hAnsi="Arial" w:cs="Arial"/>
              </w:rPr>
              <w:t xml:space="preserve">ation </w:t>
            </w:r>
            <w:r w:rsidRPr="001D4062">
              <w:rPr>
                <w:rFonts w:ascii="Arial" w:eastAsiaTheme="majorEastAsia" w:hAnsi="Arial" w:cs="Arial"/>
              </w:rPr>
              <w:t>by the Court of Protection to make decisions on behalf</w:t>
            </w:r>
            <w:r>
              <w:rPr>
                <w:rFonts w:ascii="Arial" w:eastAsiaTheme="majorEastAsia" w:hAnsi="Arial" w:cs="Arial"/>
              </w:rPr>
              <w:t xml:space="preserve"> of a named individual</w:t>
            </w:r>
            <w:r w:rsidRPr="001D4062">
              <w:rPr>
                <w:rFonts w:ascii="Arial" w:eastAsiaTheme="majorEastAsia" w:hAnsi="Arial" w:cs="Arial"/>
              </w:rPr>
              <w:t xml:space="preserve"> if they ‘lack mental capacity’</w:t>
            </w:r>
            <w:r>
              <w:rPr>
                <w:rFonts w:ascii="Arial" w:eastAsiaTheme="majorEastAsia" w:hAnsi="Arial" w:cs="Arial"/>
              </w:rPr>
              <w:t xml:space="preserve"> </w:t>
            </w:r>
            <w:r w:rsidRPr="001D4062">
              <w:rPr>
                <w:rFonts w:ascii="Arial" w:eastAsiaTheme="majorEastAsia" w:hAnsi="Arial" w:cs="Arial"/>
              </w:rPr>
              <w:t>t</w:t>
            </w:r>
            <w:r>
              <w:rPr>
                <w:rFonts w:ascii="Arial" w:eastAsiaTheme="majorEastAsia" w:hAnsi="Arial" w:cs="Arial"/>
              </w:rPr>
              <w:t>o</w:t>
            </w:r>
            <w:r w:rsidRPr="001D4062">
              <w:rPr>
                <w:rFonts w:ascii="Arial" w:eastAsiaTheme="majorEastAsia" w:hAnsi="Arial" w:cs="Arial"/>
              </w:rPr>
              <w:t xml:space="preserve"> make a decision for themselves at the time it needs to be made. </w:t>
            </w:r>
          </w:p>
        </w:tc>
      </w:tr>
      <w:tr w:rsidR="008C0562" w14:paraId="625A8C1D" w14:textId="77777777" w:rsidTr="000C04BC">
        <w:tc>
          <w:tcPr>
            <w:tcW w:w="1827" w:type="dxa"/>
          </w:tcPr>
          <w:p w14:paraId="45F18B66" w14:textId="77777777" w:rsidR="008C0562" w:rsidRDefault="008C0562" w:rsidP="00AE3E3F">
            <w:pPr>
              <w:ind w:left="0"/>
              <w:rPr>
                <w:rFonts w:ascii="Arial" w:hAnsi="Arial" w:cs="Arial"/>
              </w:rPr>
            </w:pPr>
            <w:r>
              <w:rPr>
                <w:rFonts w:ascii="Arial" w:hAnsi="Arial" w:cs="Arial"/>
              </w:rPr>
              <w:t>Decision Support Tool</w:t>
            </w:r>
          </w:p>
        </w:tc>
        <w:tc>
          <w:tcPr>
            <w:tcW w:w="1804" w:type="dxa"/>
          </w:tcPr>
          <w:p w14:paraId="5E7DA663" w14:textId="1E05DE09" w:rsidR="008C0562" w:rsidRPr="00ED1931" w:rsidRDefault="00D70CCC" w:rsidP="00AE3E3F">
            <w:pPr>
              <w:ind w:left="0"/>
              <w:rPr>
                <w:rFonts w:ascii="Arial" w:hAnsi="Arial" w:cs="Arial"/>
              </w:rPr>
            </w:pPr>
            <w:r>
              <w:rPr>
                <w:rFonts w:ascii="Arial" w:hAnsi="Arial" w:cs="Arial"/>
              </w:rPr>
              <w:t>DST</w:t>
            </w:r>
          </w:p>
        </w:tc>
        <w:tc>
          <w:tcPr>
            <w:tcW w:w="5390" w:type="dxa"/>
          </w:tcPr>
          <w:p w14:paraId="1565181B" w14:textId="34A62BB3" w:rsidR="008C0562" w:rsidRPr="00ED1931" w:rsidRDefault="00D70CCC" w:rsidP="00AE3E3F">
            <w:pPr>
              <w:autoSpaceDE w:val="0"/>
              <w:autoSpaceDN w:val="0"/>
              <w:adjustRightInd w:val="0"/>
              <w:spacing w:after="120"/>
              <w:ind w:left="0"/>
              <w:rPr>
                <w:rFonts w:ascii="Arial" w:hAnsi="Arial" w:cs="Arial"/>
              </w:rPr>
            </w:pPr>
            <w:r>
              <w:rPr>
                <w:rFonts w:ascii="Arial" w:hAnsi="Arial" w:cs="Arial"/>
              </w:rPr>
              <w:t xml:space="preserve">A document designed for recording the MDT assessment for CHC/CYPCC funding eligibility. </w:t>
            </w:r>
          </w:p>
        </w:tc>
      </w:tr>
      <w:tr w:rsidR="008C0562" w14:paraId="6A77F0E0" w14:textId="77777777" w:rsidTr="000C04BC">
        <w:tc>
          <w:tcPr>
            <w:tcW w:w="1827" w:type="dxa"/>
          </w:tcPr>
          <w:p w14:paraId="46BE193D" w14:textId="77777777" w:rsidR="008C0562" w:rsidRPr="00ED1931" w:rsidRDefault="008C0562" w:rsidP="00AE3E3F">
            <w:pPr>
              <w:ind w:left="0"/>
              <w:rPr>
                <w:rFonts w:ascii="Arial" w:hAnsi="Arial" w:cs="Arial"/>
              </w:rPr>
            </w:pPr>
            <w:r>
              <w:rPr>
                <w:rFonts w:ascii="Arial" w:hAnsi="Arial" w:cs="Arial"/>
              </w:rPr>
              <w:t>Deprivation of Liberty Safeguards</w:t>
            </w:r>
          </w:p>
        </w:tc>
        <w:tc>
          <w:tcPr>
            <w:tcW w:w="1804" w:type="dxa"/>
          </w:tcPr>
          <w:p w14:paraId="05DB17CC" w14:textId="77777777" w:rsidR="008C0562" w:rsidRPr="00ED1931" w:rsidRDefault="008C0562" w:rsidP="00AE3E3F">
            <w:pPr>
              <w:ind w:left="0"/>
              <w:rPr>
                <w:rFonts w:ascii="Arial" w:hAnsi="Arial" w:cs="Arial"/>
              </w:rPr>
            </w:pPr>
            <w:r>
              <w:rPr>
                <w:rFonts w:ascii="Arial" w:hAnsi="Arial" w:cs="Arial"/>
              </w:rPr>
              <w:t>DoLS</w:t>
            </w:r>
          </w:p>
        </w:tc>
        <w:tc>
          <w:tcPr>
            <w:tcW w:w="5390" w:type="dxa"/>
          </w:tcPr>
          <w:p w14:paraId="412CB065" w14:textId="2DBDF285" w:rsidR="008C0562" w:rsidRPr="00ED1931" w:rsidRDefault="001D4062" w:rsidP="00AE3E3F">
            <w:pPr>
              <w:ind w:left="0"/>
              <w:rPr>
                <w:rFonts w:ascii="Arial" w:hAnsi="Arial" w:cs="Arial"/>
              </w:rPr>
            </w:pPr>
            <w:r>
              <w:rPr>
                <w:rFonts w:ascii="Arial" w:eastAsiaTheme="majorEastAsia" w:hAnsi="Arial" w:cs="Arial"/>
              </w:rPr>
              <w:t xml:space="preserve">An </w:t>
            </w:r>
            <w:r w:rsidRPr="001D4062">
              <w:rPr>
                <w:rFonts w:ascii="Arial" w:eastAsiaTheme="majorEastAsia" w:hAnsi="Arial" w:cs="Arial"/>
              </w:rPr>
              <w:t>amendment to the Mental Capacity Act 2005 which ensures people who cannot consent to their care arrangements in a care home or hospital are protected if those arrangements deprive them of their liberty.</w:t>
            </w:r>
          </w:p>
        </w:tc>
      </w:tr>
      <w:tr w:rsidR="008C0562" w14:paraId="61D7ED21" w14:textId="77777777" w:rsidTr="000C04BC">
        <w:tc>
          <w:tcPr>
            <w:tcW w:w="1827" w:type="dxa"/>
          </w:tcPr>
          <w:p w14:paraId="1660A794" w14:textId="77777777" w:rsidR="008C0562" w:rsidRDefault="008C0562" w:rsidP="00AE3E3F">
            <w:pPr>
              <w:ind w:left="0"/>
              <w:rPr>
                <w:rFonts w:ascii="Arial" w:hAnsi="Arial" w:cs="Arial"/>
              </w:rPr>
            </w:pPr>
            <w:r>
              <w:rPr>
                <w:rFonts w:ascii="Arial" w:hAnsi="Arial" w:cs="Arial"/>
              </w:rPr>
              <w:t>Domiciliary Care</w:t>
            </w:r>
          </w:p>
        </w:tc>
        <w:tc>
          <w:tcPr>
            <w:tcW w:w="1804" w:type="dxa"/>
          </w:tcPr>
          <w:p w14:paraId="1509A951" w14:textId="77777777" w:rsidR="008C0562" w:rsidRDefault="008C0562" w:rsidP="00AE3E3F">
            <w:pPr>
              <w:ind w:left="0"/>
              <w:rPr>
                <w:rFonts w:ascii="Arial" w:hAnsi="Arial" w:cs="Arial"/>
              </w:rPr>
            </w:pPr>
          </w:p>
        </w:tc>
        <w:tc>
          <w:tcPr>
            <w:tcW w:w="5390" w:type="dxa"/>
          </w:tcPr>
          <w:p w14:paraId="2EB14605" w14:textId="34193A85" w:rsidR="008C0562" w:rsidRPr="00ED1931" w:rsidRDefault="00D70CCC" w:rsidP="00AE3E3F">
            <w:pPr>
              <w:ind w:left="0"/>
              <w:rPr>
                <w:rFonts w:ascii="Arial" w:hAnsi="Arial" w:cs="Arial"/>
              </w:rPr>
            </w:pPr>
            <w:r>
              <w:rPr>
                <w:rFonts w:ascii="Arial" w:hAnsi="Arial" w:cs="Arial"/>
              </w:rPr>
              <w:t>Care</w:t>
            </w:r>
            <w:r w:rsidR="001B40BE">
              <w:rPr>
                <w:rFonts w:ascii="Arial" w:hAnsi="Arial" w:cs="Arial"/>
              </w:rPr>
              <w:t xml:space="preserve">, including clinical care, </w:t>
            </w:r>
            <w:r>
              <w:rPr>
                <w:rFonts w:ascii="Arial" w:hAnsi="Arial" w:cs="Arial"/>
              </w:rPr>
              <w:t xml:space="preserve">delivered in the </w:t>
            </w:r>
            <w:r w:rsidR="002148CE">
              <w:rPr>
                <w:rFonts w:ascii="Arial" w:hAnsi="Arial" w:cs="Arial"/>
              </w:rPr>
              <w:t>individual</w:t>
            </w:r>
            <w:r>
              <w:rPr>
                <w:rFonts w:ascii="Arial" w:hAnsi="Arial" w:cs="Arial"/>
              </w:rPr>
              <w:t>’s own home.</w:t>
            </w:r>
          </w:p>
        </w:tc>
      </w:tr>
      <w:tr w:rsidR="008C0562" w14:paraId="4B5D563B" w14:textId="77777777" w:rsidTr="000C04BC">
        <w:tc>
          <w:tcPr>
            <w:tcW w:w="1827" w:type="dxa"/>
          </w:tcPr>
          <w:p w14:paraId="33B0F77C" w14:textId="77777777" w:rsidR="008C0562" w:rsidRDefault="008C0562" w:rsidP="00AE3E3F">
            <w:pPr>
              <w:ind w:left="0"/>
              <w:rPr>
                <w:rFonts w:ascii="Arial" w:hAnsi="Arial" w:cs="Arial"/>
              </w:rPr>
            </w:pPr>
            <w:r>
              <w:rPr>
                <w:rFonts w:ascii="Arial" w:hAnsi="Arial" w:cs="Arial"/>
              </w:rPr>
              <w:t>Do Not Attempt Resuscitation form</w:t>
            </w:r>
          </w:p>
        </w:tc>
        <w:tc>
          <w:tcPr>
            <w:tcW w:w="1804" w:type="dxa"/>
          </w:tcPr>
          <w:p w14:paraId="27132A7D" w14:textId="77777777" w:rsidR="008C0562" w:rsidRDefault="008C0562" w:rsidP="00AE3E3F">
            <w:pPr>
              <w:ind w:left="0"/>
              <w:rPr>
                <w:rFonts w:ascii="Arial" w:hAnsi="Arial" w:cs="Arial"/>
              </w:rPr>
            </w:pPr>
            <w:r>
              <w:rPr>
                <w:rFonts w:ascii="Arial" w:hAnsi="Arial" w:cs="Arial"/>
              </w:rPr>
              <w:t>DNAR</w:t>
            </w:r>
          </w:p>
        </w:tc>
        <w:tc>
          <w:tcPr>
            <w:tcW w:w="5390" w:type="dxa"/>
          </w:tcPr>
          <w:p w14:paraId="2551BA1B" w14:textId="1FD932E3" w:rsidR="008C0562" w:rsidRPr="00ED1931" w:rsidRDefault="00D70CCC" w:rsidP="00AE3E3F">
            <w:pPr>
              <w:ind w:left="0"/>
              <w:rPr>
                <w:rFonts w:ascii="Arial" w:hAnsi="Arial" w:cs="Arial"/>
              </w:rPr>
            </w:pPr>
            <w:r>
              <w:rPr>
                <w:rFonts w:ascii="Arial" w:hAnsi="Arial" w:cs="Arial"/>
              </w:rPr>
              <w:t xml:space="preserve">A document agreed between the </w:t>
            </w:r>
            <w:r w:rsidR="002148CE">
              <w:rPr>
                <w:rFonts w:ascii="Arial" w:hAnsi="Arial" w:cs="Arial"/>
              </w:rPr>
              <w:t>individual</w:t>
            </w:r>
            <w:r>
              <w:rPr>
                <w:rFonts w:ascii="Arial" w:hAnsi="Arial" w:cs="Arial"/>
              </w:rPr>
              <w:t xml:space="preserve"> (or approved representative) and their responsible medical clinician, instructing that in the event of a cardiac arrest, the </w:t>
            </w:r>
            <w:r w:rsidR="002148CE">
              <w:rPr>
                <w:rFonts w:ascii="Arial" w:hAnsi="Arial" w:cs="Arial"/>
              </w:rPr>
              <w:t>individual</w:t>
            </w:r>
            <w:r>
              <w:rPr>
                <w:rFonts w:ascii="Arial" w:hAnsi="Arial" w:cs="Arial"/>
              </w:rPr>
              <w:t>’s wishes to not be resuscitated will be respected.</w:t>
            </w:r>
          </w:p>
        </w:tc>
      </w:tr>
      <w:tr w:rsidR="008C0562" w14:paraId="0E4F90A7" w14:textId="77777777" w:rsidTr="000C04BC">
        <w:tc>
          <w:tcPr>
            <w:tcW w:w="1827" w:type="dxa"/>
          </w:tcPr>
          <w:p w14:paraId="56C1E6A8" w14:textId="77777777" w:rsidR="008C0562" w:rsidRDefault="008C0562" w:rsidP="00AE3E3F">
            <w:pPr>
              <w:ind w:left="0"/>
              <w:rPr>
                <w:rFonts w:ascii="Arial" w:hAnsi="Arial" w:cs="Arial"/>
              </w:rPr>
            </w:pPr>
            <w:r>
              <w:rPr>
                <w:rFonts w:ascii="Arial" w:hAnsi="Arial" w:cs="Arial"/>
              </w:rPr>
              <w:t>Education Health and Care Plan</w:t>
            </w:r>
          </w:p>
        </w:tc>
        <w:tc>
          <w:tcPr>
            <w:tcW w:w="1804" w:type="dxa"/>
          </w:tcPr>
          <w:p w14:paraId="67BA90F9" w14:textId="77777777" w:rsidR="008C0562" w:rsidRDefault="008C0562" w:rsidP="00AE3E3F">
            <w:pPr>
              <w:ind w:left="0"/>
              <w:rPr>
                <w:rFonts w:ascii="Arial" w:hAnsi="Arial" w:cs="Arial"/>
              </w:rPr>
            </w:pPr>
            <w:r>
              <w:rPr>
                <w:rFonts w:ascii="Arial" w:hAnsi="Arial" w:cs="Arial"/>
              </w:rPr>
              <w:t>EHCP</w:t>
            </w:r>
          </w:p>
        </w:tc>
        <w:tc>
          <w:tcPr>
            <w:tcW w:w="5390" w:type="dxa"/>
          </w:tcPr>
          <w:p w14:paraId="7B588768" w14:textId="26B63AA0" w:rsidR="008C0562" w:rsidRPr="00ED1931" w:rsidRDefault="00D70CCC" w:rsidP="00AE3E3F">
            <w:pPr>
              <w:ind w:left="0"/>
              <w:rPr>
                <w:rFonts w:ascii="Arial" w:hAnsi="Arial" w:cs="Arial"/>
              </w:rPr>
            </w:pPr>
            <w:r>
              <w:rPr>
                <w:rFonts w:ascii="Arial" w:hAnsi="Arial" w:cs="Arial"/>
              </w:rPr>
              <w:t xml:space="preserve">A plan agreed between child, family and the three agencies to meet all of a child’s identified health, social care and educational needs. </w:t>
            </w:r>
          </w:p>
        </w:tc>
      </w:tr>
      <w:tr w:rsidR="008C0562" w14:paraId="74F10A44" w14:textId="77777777" w:rsidTr="000C04BC">
        <w:tc>
          <w:tcPr>
            <w:tcW w:w="1827" w:type="dxa"/>
          </w:tcPr>
          <w:p w14:paraId="1D6D117D" w14:textId="77777777" w:rsidR="008C0562" w:rsidRPr="00ED1931" w:rsidRDefault="008C0562" w:rsidP="00AE3E3F">
            <w:pPr>
              <w:ind w:left="0"/>
              <w:rPr>
                <w:rFonts w:ascii="Arial" w:hAnsi="Arial" w:cs="Arial"/>
              </w:rPr>
            </w:pPr>
            <w:r w:rsidRPr="00ED1931">
              <w:rPr>
                <w:rFonts w:ascii="Arial" w:hAnsi="Arial" w:cs="Arial"/>
              </w:rPr>
              <w:t xml:space="preserve">Funded Nursing Care </w:t>
            </w:r>
          </w:p>
        </w:tc>
        <w:tc>
          <w:tcPr>
            <w:tcW w:w="1804" w:type="dxa"/>
          </w:tcPr>
          <w:p w14:paraId="7C44B270" w14:textId="77777777" w:rsidR="008C0562" w:rsidRPr="00ED1931" w:rsidRDefault="008C0562" w:rsidP="00AE3E3F">
            <w:pPr>
              <w:ind w:left="0"/>
              <w:rPr>
                <w:rFonts w:ascii="Arial" w:hAnsi="Arial" w:cs="Arial"/>
              </w:rPr>
            </w:pPr>
            <w:r w:rsidRPr="00ED1931">
              <w:rPr>
                <w:rFonts w:ascii="Arial" w:hAnsi="Arial" w:cs="Arial"/>
              </w:rPr>
              <w:t>FNC</w:t>
            </w:r>
          </w:p>
        </w:tc>
        <w:tc>
          <w:tcPr>
            <w:tcW w:w="5390" w:type="dxa"/>
          </w:tcPr>
          <w:p w14:paraId="727E5E35" w14:textId="77777777" w:rsidR="008C0562" w:rsidRPr="00ED1931" w:rsidRDefault="008C0562" w:rsidP="00AE3E3F">
            <w:pPr>
              <w:ind w:left="0"/>
              <w:rPr>
                <w:rFonts w:ascii="Arial" w:hAnsi="Arial" w:cs="Arial"/>
              </w:rPr>
            </w:pPr>
            <w:r w:rsidRPr="00ED1931">
              <w:rPr>
                <w:rFonts w:ascii="Arial" w:hAnsi="Arial" w:cs="Arial"/>
              </w:rPr>
              <w:t>Funding provided by the NHS to care homes with nursing to support the provision of nursing care by a registered nurse.</w:t>
            </w:r>
          </w:p>
        </w:tc>
      </w:tr>
      <w:tr w:rsidR="008C0562" w14:paraId="1DB7315F" w14:textId="77777777" w:rsidTr="000C04BC">
        <w:tc>
          <w:tcPr>
            <w:tcW w:w="1827" w:type="dxa"/>
          </w:tcPr>
          <w:p w14:paraId="5E23CC03" w14:textId="77777777" w:rsidR="008C0562" w:rsidRPr="00ED1931" w:rsidRDefault="008C0562" w:rsidP="00AE3E3F">
            <w:pPr>
              <w:ind w:left="0"/>
              <w:rPr>
                <w:rFonts w:ascii="Arial" w:hAnsi="Arial" w:cs="Arial"/>
              </w:rPr>
            </w:pPr>
            <w:r w:rsidRPr="00ED1931">
              <w:rPr>
                <w:rFonts w:ascii="Arial" w:hAnsi="Arial" w:cs="Arial"/>
              </w:rPr>
              <w:t>Fast Track</w:t>
            </w:r>
          </w:p>
        </w:tc>
        <w:tc>
          <w:tcPr>
            <w:tcW w:w="1804" w:type="dxa"/>
          </w:tcPr>
          <w:p w14:paraId="1E566BEE" w14:textId="77777777" w:rsidR="008C0562" w:rsidRPr="00ED1931" w:rsidRDefault="008C0562" w:rsidP="00AE3E3F">
            <w:pPr>
              <w:ind w:left="0"/>
              <w:rPr>
                <w:rFonts w:ascii="Arial" w:hAnsi="Arial" w:cs="Arial"/>
              </w:rPr>
            </w:pPr>
            <w:r w:rsidRPr="00ED1931">
              <w:rPr>
                <w:rFonts w:ascii="Arial" w:hAnsi="Arial" w:cs="Arial"/>
              </w:rPr>
              <w:t>FT</w:t>
            </w:r>
          </w:p>
        </w:tc>
        <w:tc>
          <w:tcPr>
            <w:tcW w:w="5390" w:type="dxa"/>
          </w:tcPr>
          <w:p w14:paraId="74773EF5" w14:textId="114C479C" w:rsidR="008C0562" w:rsidRPr="00ED1931" w:rsidRDefault="008C0562" w:rsidP="00AE3E3F">
            <w:pPr>
              <w:ind w:left="0"/>
              <w:rPr>
                <w:rFonts w:ascii="Arial" w:hAnsi="Arial" w:cs="Arial"/>
              </w:rPr>
            </w:pPr>
            <w:r w:rsidRPr="00ED1931">
              <w:rPr>
                <w:rFonts w:ascii="Arial" w:hAnsi="Arial" w:cs="Arial"/>
              </w:rPr>
              <w:t>A</w:t>
            </w:r>
            <w:r w:rsidR="001B40BE">
              <w:rPr>
                <w:rFonts w:ascii="Arial" w:hAnsi="Arial" w:cs="Arial"/>
              </w:rPr>
              <w:t>n</w:t>
            </w:r>
            <w:r w:rsidRPr="00ED1931">
              <w:rPr>
                <w:rFonts w:ascii="Arial" w:hAnsi="Arial" w:cs="Arial"/>
              </w:rPr>
              <w:t xml:space="preserve"> </w:t>
            </w:r>
            <w:r w:rsidR="00043C80">
              <w:rPr>
                <w:rFonts w:ascii="Arial" w:hAnsi="Arial" w:cs="Arial"/>
              </w:rPr>
              <w:t>AACC</w:t>
            </w:r>
            <w:r w:rsidR="00B551A7">
              <w:rPr>
                <w:rFonts w:ascii="Arial" w:hAnsi="Arial" w:cs="Arial"/>
              </w:rPr>
              <w:t xml:space="preserve"> </w:t>
            </w:r>
            <w:r w:rsidRPr="00ED1931">
              <w:rPr>
                <w:rFonts w:ascii="Arial" w:hAnsi="Arial" w:cs="Arial"/>
              </w:rPr>
              <w:t xml:space="preserve">funding stream that can be implemented without full assessment for a person who is rapidly deteriorating and may be in the terminal stage of their life / life-limiting condition. </w:t>
            </w:r>
          </w:p>
        </w:tc>
      </w:tr>
      <w:tr w:rsidR="008C0562" w14:paraId="2E13D3A0" w14:textId="77777777" w:rsidTr="000C04BC">
        <w:tc>
          <w:tcPr>
            <w:tcW w:w="1827" w:type="dxa"/>
          </w:tcPr>
          <w:p w14:paraId="577C1739" w14:textId="77777777" w:rsidR="008C0562" w:rsidRDefault="008C0562" w:rsidP="00AE3E3F">
            <w:pPr>
              <w:ind w:left="0"/>
              <w:rPr>
                <w:rFonts w:ascii="Arial" w:hAnsi="Arial" w:cs="Arial"/>
              </w:rPr>
            </w:pPr>
            <w:r>
              <w:rPr>
                <w:rFonts w:ascii="Arial" w:hAnsi="Arial" w:cs="Arial"/>
              </w:rPr>
              <w:t>Gillick competence</w:t>
            </w:r>
          </w:p>
        </w:tc>
        <w:tc>
          <w:tcPr>
            <w:tcW w:w="1804" w:type="dxa"/>
          </w:tcPr>
          <w:p w14:paraId="4E93BCEC" w14:textId="77777777" w:rsidR="008C0562" w:rsidRDefault="008C0562" w:rsidP="00AE3E3F">
            <w:pPr>
              <w:ind w:left="0"/>
              <w:rPr>
                <w:rFonts w:ascii="Arial" w:hAnsi="Arial" w:cs="Arial"/>
              </w:rPr>
            </w:pPr>
          </w:p>
        </w:tc>
        <w:tc>
          <w:tcPr>
            <w:tcW w:w="5390" w:type="dxa"/>
          </w:tcPr>
          <w:p w14:paraId="14C39410" w14:textId="76971B97" w:rsidR="008C0562" w:rsidRPr="00ED1931" w:rsidRDefault="001D4062" w:rsidP="00AE3E3F">
            <w:pPr>
              <w:ind w:left="0"/>
              <w:rPr>
                <w:rFonts w:ascii="Arial" w:hAnsi="Arial" w:cs="Arial"/>
              </w:rPr>
            </w:pPr>
            <w:r w:rsidRPr="001D4062">
              <w:rPr>
                <w:rFonts w:ascii="Arial" w:hAnsi="Arial" w:cs="Arial"/>
              </w:rPr>
              <w:t>Children under the age of 16 can consent to their own treatment if they're believed to have enough intelligence, competence and understanding to fully appreciate what's involved in their treatment. This is known as being Gillick competent.</w:t>
            </w:r>
          </w:p>
        </w:tc>
      </w:tr>
      <w:tr w:rsidR="008C0562" w14:paraId="23C83783" w14:textId="77777777" w:rsidTr="000C04BC">
        <w:tc>
          <w:tcPr>
            <w:tcW w:w="1827" w:type="dxa"/>
          </w:tcPr>
          <w:p w14:paraId="49AA623D" w14:textId="77777777" w:rsidR="008C0562" w:rsidRDefault="008C0562" w:rsidP="00AE3E3F">
            <w:pPr>
              <w:ind w:left="0"/>
              <w:rPr>
                <w:rFonts w:ascii="Arial" w:hAnsi="Arial" w:cs="Arial"/>
              </w:rPr>
            </w:pPr>
            <w:r>
              <w:rPr>
                <w:rFonts w:ascii="Arial" w:hAnsi="Arial" w:cs="Arial"/>
              </w:rPr>
              <w:t>Health Needs Assessment</w:t>
            </w:r>
          </w:p>
        </w:tc>
        <w:tc>
          <w:tcPr>
            <w:tcW w:w="1804" w:type="dxa"/>
          </w:tcPr>
          <w:p w14:paraId="28879215" w14:textId="77777777" w:rsidR="008C0562" w:rsidRDefault="008C0562" w:rsidP="00AE3E3F">
            <w:pPr>
              <w:ind w:left="0"/>
              <w:rPr>
                <w:rFonts w:ascii="Arial" w:hAnsi="Arial" w:cs="Arial"/>
              </w:rPr>
            </w:pPr>
            <w:r>
              <w:rPr>
                <w:rFonts w:ascii="Arial" w:hAnsi="Arial" w:cs="Arial"/>
              </w:rPr>
              <w:t>HNA</w:t>
            </w:r>
          </w:p>
        </w:tc>
        <w:tc>
          <w:tcPr>
            <w:tcW w:w="5390" w:type="dxa"/>
          </w:tcPr>
          <w:p w14:paraId="73FBF3E3" w14:textId="3C2DB4DC" w:rsidR="008C0562" w:rsidRPr="00ED1931" w:rsidRDefault="001D4062" w:rsidP="00AE3E3F">
            <w:pPr>
              <w:ind w:left="0"/>
              <w:rPr>
                <w:rFonts w:ascii="Arial" w:hAnsi="Arial" w:cs="Arial"/>
              </w:rPr>
            </w:pPr>
            <w:r>
              <w:rPr>
                <w:rFonts w:ascii="Arial" w:hAnsi="Arial" w:cs="Arial"/>
              </w:rPr>
              <w:t xml:space="preserve">An assessment </w:t>
            </w:r>
            <w:r w:rsidR="000931A3">
              <w:rPr>
                <w:rFonts w:ascii="Arial" w:hAnsi="Arial" w:cs="Arial"/>
              </w:rPr>
              <w:t>to determine eligibility for funding for children and young people</w:t>
            </w:r>
            <w:r w:rsidR="00053C2B">
              <w:rPr>
                <w:rFonts w:ascii="Arial" w:hAnsi="Arial" w:cs="Arial"/>
              </w:rPr>
              <w:t xml:space="preserve"> (also referred to as the DST)</w:t>
            </w:r>
            <w:r w:rsidR="000931A3">
              <w:rPr>
                <w:rFonts w:ascii="Arial" w:hAnsi="Arial" w:cs="Arial"/>
              </w:rPr>
              <w:t xml:space="preserve">, </w:t>
            </w:r>
            <w:r>
              <w:rPr>
                <w:rFonts w:ascii="Arial" w:hAnsi="Arial" w:cs="Arial"/>
              </w:rPr>
              <w:t xml:space="preserve">aimed at promoting a </w:t>
            </w:r>
            <w:r w:rsidRPr="001D4062">
              <w:rPr>
                <w:rFonts w:ascii="Arial" w:hAnsi="Arial" w:cs="Arial"/>
              </w:rPr>
              <w:t>child's physical and mental health and to inform the child's Individual Health Plan.</w:t>
            </w:r>
          </w:p>
        </w:tc>
      </w:tr>
      <w:tr w:rsidR="008C0562" w14:paraId="4FC23473" w14:textId="77777777" w:rsidTr="000C04BC">
        <w:tc>
          <w:tcPr>
            <w:tcW w:w="1827" w:type="dxa"/>
          </w:tcPr>
          <w:p w14:paraId="530673BB" w14:textId="77777777" w:rsidR="008C0562" w:rsidRDefault="008C0562" w:rsidP="00AE3E3F">
            <w:pPr>
              <w:ind w:left="0"/>
              <w:rPr>
                <w:rFonts w:ascii="Arial" w:hAnsi="Arial" w:cs="Arial"/>
              </w:rPr>
            </w:pPr>
            <w:r>
              <w:rPr>
                <w:rFonts w:ascii="Arial" w:hAnsi="Arial" w:cs="Arial"/>
              </w:rPr>
              <w:t>Independent Mental Capacity Advocate</w:t>
            </w:r>
          </w:p>
        </w:tc>
        <w:tc>
          <w:tcPr>
            <w:tcW w:w="1804" w:type="dxa"/>
          </w:tcPr>
          <w:p w14:paraId="3992B04A" w14:textId="77777777" w:rsidR="008C0562" w:rsidRDefault="008C0562" w:rsidP="00AE3E3F">
            <w:pPr>
              <w:ind w:left="0"/>
              <w:rPr>
                <w:rFonts w:ascii="Arial" w:hAnsi="Arial" w:cs="Arial"/>
              </w:rPr>
            </w:pPr>
            <w:r>
              <w:rPr>
                <w:rFonts w:ascii="Arial" w:hAnsi="Arial" w:cs="Arial"/>
              </w:rPr>
              <w:t>IMCA</w:t>
            </w:r>
          </w:p>
        </w:tc>
        <w:tc>
          <w:tcPr>
            <w:tcW w:w="5390" w:type="dxa"/>
          </w:tcPr>
          <w:p w14:paraId="4B81DB2D" w14:textId="647A121F" w:rsidR="008C0562" w:rsidRPr="00ED1931" w:rsidRDefault="00ED11F7" w:rsidP="00AE3E3F">
            <w:pPr>
              <w:ind w:left="0"/>
              <w:rPr>
                <w:rFonts w:ascii="Arial" w:hAnsi="Arial" w:cs="Arial"/>
              </w:rPr>
            </w:pPr>
            <w:r>
              <w:rPr>
                <w:rFonts w:ascii="Arial" w:hAnsi="Arial" w:cs="Arial"/>
              </w:rPr>
              <w:t>A</w:t>
            </w:r>
            <w:r w:rsidRPr="00ED11F7">
              <w:rPr>
                <w:rFonts w:ascii="Arial" w:hAnsi="Arial" w:cs="Arial"/>
              </w:rPr>
              <w:t xml:space="preserve"> legal safeguard for people who lack the capacity to make specific important decisions: including making decisions about where they live and about serious medical treatment options. IMCAs are mainly instructed to represent people where there is no one independent of services, such as a family member or friend, who is able to represent the person.</w:t>
            </w:r>
          </w:p>
        </w:tc>
      </w:tr>
      <w:tr w:rsidR="008C0562" w14:paraId="6ECF8532" w14:textId="77777777" w:rsidTr="000C04BC">
        <w:tc>
          <w:tcPr>
            <w:tcW w:w="1827" w:type="dxa"/>
          </w:tcPr>
          <w:p w14:paraId="6862F737" w14:textId="77777777" w:rsidR="008C0562" w:rsidRDefault="008C0562" w:rsidP="00AE3E3F">
            <w:pPr>
              <w:ind w:left="0"/>
              <w:rPr>
                <w:rFonts w:ascii="Arial" w:hAnsi="Arial" w:cs="Arial"/>
              </w:rPr>
            </w:pPr>
            <w:r>
              <w:rPr>
                <w:rFonts w:ascii="Arial" w:hAnsi="Arial" w:cs="Arial"/>
              </w:rPr>
              <w:t xml:space="preserve">Independent Review Panel </w:t>
            </w:r>
          </w:p>
        </w:tc>
        <w:tc>
          <w:tcPr>
            <w:tcW w:w="1804" w:type="dxa"/>
          </w:tcPr>
          <w:p w14:paraId="37B2F836" w14:textId="77777777" w:rsidR="008C0562" w:rsidRDefault="008C0562" w:rsidP="00AE3E3F">
            <w:pPr>
              <w:ind w:left="0"/>
              <w:rPr>
                <w:rFonts w:ascii="Arial" w:hAnsi="Arial" w:cs="Arial"/>
              </w:rPr>
            </w:pPr>
            <w:r>
              <w:rPr>
                <w:rFonts w:ascii="Arial" w:hAnsi="Arial" w:cs="Arial"/>
              </w:rPr>
              <w:t>IRP</w:t>
            </w:r>
          </w:p>
        </w:tc>
        <w:tc>
          <w:tcPr>
            <w:tcW w:w="5390" w:type="dxa"/>
          </w:tcPr>
          <w:p w14:paraId="67E8F36D" w14:textId="6F312BAF" w:rsidR="008C0562" w:rsidRPr="00ED1931" w:rsidRDefault="00ED11F7" w:rsidP="00AE3E3F">
            <w:pPr>
              <w:ind w:left="0"/>
              <w:rPr>
                <w:rFonts w:ascii="Arial" w:hAnsi="Arial" w:cs="Arial"/>
              </w:rPr>
            </w:pPr>
            <w:r>
              <w:rPr>
                <w:rFonts w:ascii="Arial" w:hAnsi="Arial" w:cs="Arial"/>
              </w:rPr>
              <w:t>An expert panel with an independent Chair, t</w:t>
            </w:r>
            <w:r w:rsidRPr="00ED11F7">
              <w:rPr>
                <w:rFonts w:ascii="Arial" w:hAnsi="Arial" w:cs="Arial"/>
              </w:rPr>
              <w:t>o enable individuals and/or their representatives to look at the primary heath need decision by a Clinical Commissioning Group (CCG)</w:t>
            </w:r>
            <w:r>
              <w:rPr>
                <w:rFonts w:ascii="Arial" w:hAnsi="Arial" w:cs="Arial"/>
              </w:rPr>
              <w:t>,</w:t>
            </w:r>
            <w:r w:rsidRPr="00ED11F7">
              <w:rPr>
                <w:rFonts w:ascii="Arial" w:hAnsi="Arial" w:cs="Arial"/>
              </w:rPr>
              <w:t xml:space="preserve"> or the procedure followed by a CCG in reaching a decision about their eligibility for NHS Continuing Healthcare; and to make a recommendation to NHS England in the light of its findings.</w:t>
            </w:r>
          </w:p>
        </w:tc>
      </w:tr>
      <w:tr w:rsidR="008C0562" w14:paraId="1E6735DF" w14:textId="77777777" w:rsidTr="000C04BC">
        <w:tc>
          <w:tcPr>
            <w:tcW w:w="1827" w:type="dxa"/>
          </w:tcPr>
          <w:p w14:paraId="2A35BEE2" w14:textId="77777777" w:rsidR="008C0562" w:rsidRPr="00ED1931" w:rsidRDefault="008C0562" w:rsidP="00AE3E3F">
            <w:pPr>
              <w:ind w:left="0"/>
              <w:rPr>
                <w:rFonts w:ascii="Arial" w:hAnsi="Arial" w:cs="Arial"/>
              </w:rPr>
            </w:pPr>
            <w:r>
              <w:rPr>
                <w:rFonts w:ascii="Arial" w:hAnsi="Arial" w:cs="Arial"/>
              </w:rPr>
              <w:t>Integrated Care Board</w:t>
            </w:r>
          </w:p>
        </w:tc>
        <w:tc>
          <w:tcPr>
            <w:tcW w:w="1804" w:type="dxa"/>
          </w:tcPr>
          <w:p w14:paraId="6AE8B758" w14:textId="77777777" w:rsidR="008C0562" w:rsidRPr="00ED1931" w:rsidRDefault="008C0562" w:rsidP="00AE3E3F">
            <w:pPr>
              <w:ind w:left="0"/>
              <w:rPr>
                <w:rFonts w:ascii="Arial" w:hAnsi="Arial" w:cs="Arial"/>
              </w:rPr>
            </w:pPr>
            <w:r>
              <w:rPr>
                <w:rFonts w:ascii="Arial" w:hAnsi="Arial" w:cs="Arial"/>
              </w:rPr>
              <w:t>ICB</w:t>
            </w:r>
          </w:p>
        </w:tc>
        <w:tc>
          <w:tcPr>
            <w:tcW w:w="5390" w:type="dxa"/>
          </w:tcPr>
          <w:p w14:paraId="7CCEA39A" w14:textId="34C8F323" w:rsidR="008C0562" w:rsidRPr="00ED1931" w:rsidRDefault="00A02F76" w:rsidP="00AE3E3F">
            <w:pPr>
              <w:ind w:left="0"/>
              <w:rPr>
                <w:rFonts w:ascii="Arial" w:hAnsi="Arial" w:cs="Arial"/>
              </w:rPr>
            </w:pPr>
            <w:r>
              <w:rPr>
                <w:rFonts w:ascii="Arial" w:hAnsi="Arial" w:cs="Arial"/>
              </w:rPr>
              <w:t>A</w:t>
            </w:r>
            <w:r w:rsidRPr="00A02F76">
              <w:rPr>
                <w:rFonts w:ascii="Arial" w:hAnsi="Arial" w:cs="Arial"/>
              </w:rPr>
              <w:t>n organisation with responsibility for NHS functions and budgets</w:t>
            </w:r>
            <w:r>
              <w:rPr>
                <w:rFonts w:ascii="Arial" w:hAnsi="Arial" w:cs="Arial"/>
              </w:rPr>
              <w:t xml:space="preserve">; the lead organisation for the Integrated Care System (ICS), </w:t>
            </w:r>
          </w:p>
        </w:tc>
      </w:tr>
      <w:tr w:rsidR="008C0562" w14:paraId="328815F2" w14:textId="77777777" w:rsidTr="000C04BC">
        <w:tc>
          <w:tcPr>
            <w:tcW w:w="1827" w:type="dxa"/>
          </w:tcPr>
          <w:p w14:paraId="788A6747" w14:textId="77777777" w:rsidR="008C0562" w:rsidRDefault="008C0562" w:rsidP="00AE3E3F">
            <w:pPr>
              <w:ind w:left="0"/>
              <w:rPr>
                <w:rFonts w:ascii="Arial" w:hAnsi="Arial" w:cs="Arial"/>
              </w:rPr>
            </w:pPr>
            <w:r>
              <w:rPr>
                <w:rFonts w:ascii="Arial" w:hAnsi="Arial" w:cs="Arial"/>
              </w:rPr>
              <w:t>Integrated Care System</w:t>
            </w:r>
          </w:p>
        </w:tc>
        <w:tc>
          <w:tcPr>
            <w:tcW w:w="1804" w:type="dxa"/>
          </w:tcPr>
          <w:p w14:paraId="70A902A1" w14:textId="77777777" w:rsidR="008C0562" w:rsidRDefault="008C0562" w:rsidP="00AE3E3F">
            <w:pPr>
              <w:ind w:left="0"/>
              <w:rPr>
                <w:rFonts w:ascii="Arial" w:hAnsi="Arial" w:cs="Arial"/>
              </w:rPr>
            </w:pPr>
            <w:r>
              <w:rPr>
                <w:rFonts w:ascii="Arial" w:hAnsi="Arial" w:cs="Arial"/>
              </w:rPr>
              <w:t>ICS</w:t>
            </w:r>
          </w:p>
        </w:tc>
        <w:tc>
          <w:tcPr>
            <w:tcW w:w="5390" w:type="dxa"/>
          </w:tcPr>
          <w:p w14:paraId="1ED6D3CD" w14:textId="30CEB117" w:rsidR="008C0562" w:rsidRPr="00ED1931" w:rsidRDefault="00A02F76" w:rsidP="00AE3E3F">
            <w:pPr>
              <w:ind w:left="0"/>
              <w:rPr>
                <w:rFonts w:ascii="Arial" w:hAnsi="Arial" w:cs="Arial"/>
              </w:rPr>
            </w:pPr>
            <w:r>
              <w:rPr>
                <w:rFonts w:ascii="Arial" w:hAnsi="Arial" w:cs="Arial"/>
              </w:rPr>
              <w:t xml:space="preserve">A partnership </w:t>
            </w:r>
            <w:r w:rsidRPr="00A02F76">
              <w:rPr>
                <w:rFonts w:ascii="Arial" w:hAnsi="Arial" w:cs="Arial"/>
              </w:rPr>
              <w:t>that bring</w:t>
            </w:r>
            <w:r>
              <w:rPr>
                <w:rFonts w:ascii="Arial" w:hAnsi="Arial" w:cs="Arial"/>
              </w:rPr>
              <w:t>s</w:t>
            </w:r>
            <w:r w:rsidRPr="00A02F76">
              <w:rPr>
                <w:rFonts w:ascii="Arial" w:hAnsi="Arial" w:cs="Arial"/>
              </w:rPr>
              <w:t xml:space="preserve"> together providers and commissioners of NHS services across a geographical area with local authorities and other local partners to collectively plan health and care services to meet the needs of their population.</w:t>
            </w:r>
          </w:p>
        </w:tc>
      </w:tr>
      <w:tr w:rsidR="008C0562" w14:paraId="4A0D32D8" w14:textId="77777777" w:rsidTr="000C04BC">
        <w:tc>
          <w:tcPr>
            <w:tcW w:w="1827" w:type="dxa"/>
          </w:tcPr>
          <w:p w14:paraId="29BEC0C7" w14:textId="77777777" w:rsidR="008C0562" w:rsidRDefault="008C0562" w:rsidP="00AE3E3F">
            <w:pPr>
              <w:ind w:left="0"/>
              <w:rPr>
                <w:rFonts w:ascii="Arial" w:hAnsi="Arial" w:cs="Arial"/>
              </w:rPr>
            </w:pPr>
            <w:r>
              <w:rPr>
                <w:rFonts w:ascii="Arial" w:hAnsi="Arial" w:cs="Arial"/>
              </w:rPr>
              <w:t>Integrated Discharge Team</w:t>
            </w:r>
          </w:p>
        </w:tc>
        <w:tc>
          <w:tcPr>
            <w:tcW w:w="1804" w:type="dxa"/>
          </w:tcPr>
          <w:p w14:paraId="15F6604C" w14:textId="77777777" w:rsidR="008C0562" w:rsidRDefault="008C0562" w:rsidP="00AE3E3F">
            <w:pPr>
              <w:ind w:left="0"/>
              <w:rPr>
                <w:rFonts w:ascii="Arial" w:hAnsi="Arial" w:cs="Arial"/>
              </w:rPr>
            </w:pPr>
            <w:r>
              <w:rPr>
                <w:rFonts w:ascii="Arial" w:hAnsi="Arial" w:cs="Arial"/>
              </w:rPr>
              <w:t>IDT</w:t>
            </w:r>
          </w:p>
        </w:tc>
        <w:tc>
          <w:tcPr>
            <w:tcW w:w="5390" w:type="dxa"/>
          </w:tcPr>
          <w:p w14:paraId="27D8FA75" w14:textId="3663EBA9" w:rsidR="008C0562" w:rsidRPr="00ED1931" w:rsidRDefault="00A02F76" w:rsidP="00AE3E3F">
            <w:pPr>
              <w:ind w:left="0"/>
              <w:rPr>
                <w:rFonts w:ascii="Arial" w:hAnsi="Arial" w:cs="Arial"/>
              </w:rPr>
            </w:pPr>
            <w:r>
              <w:rPr>
                <w:rFonts w:ascii="Arial" w:hAnsi="Arial" w:cs="Arial"/>
              </w:rPr>
              <w:t xml:space="preserve">An </w:t>
            </w:r>
            <w:r w:rsidRPr="00A02F76">
              <w:rPr>
                <w:rFonts w:ascii="Arial" w:hAnsi="Arial" w:cs="Arial"/>
              </w:rPr>
              <w:t xml:space="preserve">integrated multi-disciplinary team of social care professionals, nurses, and discharge trackers who triage </w:t>
            </w:r>
            <w:r w:rsidR="002148CE">
              <w:rPr>
                <w:rFonts w:ascii="Arial" w:hAnsi="Arial" w:cs="Arial"/>
              </w:rPr>
              <w:t>individual</w:t>
            </w:r>
            <w:r w:rsidRPr="00A02F76">
              <w:rPr>
                <w:rFonts w:ascii="Arial" w:hAnsi="Arial" w:cs="Arial"/>
              </w:rPr>
              <w:t xml:space="preserve">s </w:t>
            </w:r>
            <w:r>
              <w:rPr>
                <w:rFonts w:ascii="Arial" w:hAnsi="Arial" w:cs="Arial"/>
              </w:rPr>
              <w:t>who have ongoing care needs, planning and facilitating</w:t>
            </w:r>
            <w:r w:rsidRPr="00A02F76">
              <w:rPr>
                <w:rFonts w:ascii="Arial" w:hAnsi="Arial" w:cs="Arial"/>
              </w:rPr>
              <w:t xml:space="preserve"> discharge from hospital.</w:t>
            </w:r>
            <w:r>
              <w:rPr>
                <w:rFonts w:ascii="Arial" w:hAnsi="Arial" w:cs="Arial"/>
                <w:color w:val="425563"/>
                <w:sz w:val="29"/>
                <w:szCs w:val="29"/>
                <w:shd w:val="clear" w:color="auto" w:fill="EDF0F2"/>
              </w:rPr>
              <w:t> </w:t>
            </w:r>
          </w:p>
        </w:tc>
      </w:tr>
      <w:tr w:rsidR="008C0562" w14:paraId="579D7F08" w14:textId="77777777" w:rsidTr="000C04BC">
        <w:tc>
          <w:tcPr>
            <w:tcW w:w="1827" w:type="dxa"/>
          </w:tcPr>
          <w:p w14:paraId="77646839" w14:textId="77777777" w:rsidR="008C0562" w:rsidRDefault="008C0562" w:rsidP="00AE3E3F">
            <w:pPr>
              <w:ind w:left="0"/>
              <w:rPr>
                <w:rFonts w:ascii="Arial" w:hAnsi="Arial" w:cs="Arial"/>
              </w:rPr>
            </w:pPr>
            <w:r>
              <w:rPr>
                <w:rFonts w:ascii="Arial" w:hAnsi="Arial" w:cs="Arial"/>
              </w:rPr>
              <w:t>Integrated Residential and Nursing Framework</w:t>
            </w:r>
          </w:p>
        </w:tc>
        <w:tc>
          <w:tcPr>
            <w:tcW w:w="1804" w:type="dxa"/>
          </w:tcPr>
          <w:p w14:paraId="61FF5827" w14:textId="77777777" w:rsidR="008C0562" w:rsidRDefault="008C0562" w:rsidP="00AE3E3F">
            <w:pPr>
              <w:ind w:left="0"/>
              <w:rPr>
                <w:rFonts w:ascii="Arial" w:hAnsi="Arial" w:cs="Arial"/>
              </w:rPr>
            </w:pPr>
            <w:r>
              <w:rPr>
                <w:rFonts w:ascii="Arial" w:hAnsi="Arial" w:cs="Arial"/>
              </w:rPr>
              <w:t>IRN</w:t>
            </w:r>
          </w:p>
        </w:tc>
        <w:tc>
          <w:tcPr>
            <w:tcW w:w="5390" w:type="dxa"/>
          </w:tcPr>
          <w:p w14:paraId="1BE5BD57" w14:textId="773546A5" w:rsidR="008C0562" w:rsidRPr="00ED1931" w:rsidRDefault="00A02F76" w:rsidP="00A02F76">
            <w:pPr>
              <w:ind w:left="0"/>
              <w:rPr>
                <w:rFonts w:ascii="Arial" w:hAnsi="Arial" w:cs="Arial"/>
              </w:rPr>
            </w:pPr>
            <w:r>
              <w:rPr>
                <w:rFonts w:ascii="Arial" w:hAnsi="Arial" w:cs="Arial"/>
              </w:rPr>
              <w:t xml:space="preserve">A contractual arrangement between the Local Authority and NHS with nursing and residential homes to operate as preferred providers (with priority over non-framework providers) within a pre-agreed pricing </w:t>
            </w:r>
            <w:r w:rsidR="00642116">
              <w:rPr>
                <w:rFonts w:ascii="Arial" w:hAnsi="Arial" w:cs="Arial"/>
              </w:rPr>
              <w:t>framework when</w:t>
            </w:r>
            <w:r>
              <w:rPr>
                <w:rFonts w:ascii="Arial" w:hAnsi="Arial" w:cs="Arial"/>
              </w:rPr>
              <w:t xml:space="preserve"> care placements for individuals are being commissioned.  </w:t>
            </w:r>
          </w:p>
        </w:tc>
      </w:tr>
      <w:tr w:rsidR="008C0562" w14:paraId="603F3EB7" w14:textId="77777777" w:rsidTr="000C04BC">
        <w:tc>
          <w:tcPr>
            <w:tcW w:w="1827" w:type="dxa"/>
          </w:tcPr>
          <w:p w14:paraId="501F3A3C" w14:textId="77777777" w:rsidR="008C0562" w:rsidRPr="00ED1931" w:rsidRDefault="008C0562" w:rsidP="00AE3E3F">
            <w:pPr>
              <w:ind w:left="0"/>
              <w:rPr>
                <w:rFonts w:ascii="Arial" w:hAnsi="Arial" w:cs="Arial"/>
              </w:rPr>
            </w:pPr>
            <w:r w:rsidRPr="00ED1931">
              <w:rPr>
                <w:rFonts w:ascii="Arial" w:hAnsi="Arial" w:cs="Arial"/>
              </w:rPr>
              <w:t>Joint Funding</w:t>
            </w:r>
          </w:p>
        </w:tc>
        <w:tc>
          <w:tcPr>
            <w:tcW w:w="1804" w:type="dxa"/>
          </w:tcPr>
          <w:p w14:paraId="5909F1F4" w14:textId="77777777" w:rsidR="008C0562" w:rsidRPr="00ED1931" w:rsidRDefault="008C0562" w:rsidP="00AE3E3F">
            <w:pPr>
              <w:ind w:left="0"/>
              <w:rPr>
                <w:rFonts w:ascii="Arial" w:hAnsi="Arial" w:cs="Arial"/>
              </w:rPr>
            </w:pPr>
            <w:r w:rsidRPr="00ED1931">
              <w:rPr>
                <w:rFonts w:ascii="Arial" w:hAnsi="Arial" w:cs="Arial"/>
              </w:rPr>
              <w:t>JF</w:t>
            </w:r>
          </w:p>
        </w:tc>
        <w:tc>
          <w:tcPr>
            <w:tcW w:w="5390" w:type="dxa"/>
          </w:tcPr>
          <w:p w14:paraId="3E442979" w14:textId="325490E1" w:rsidR="00043C80" w:rsidRDefault="00043C80" w:rsidP="00AE3E3F">
            <w:pPr>
              <w:ind w:left="0"/>
              <w:rPr>
                <w:rFonts w:ascii="Arial" w:hAnsi="Arial" w:cs="Arial"/>
              </w:rPr>
            </w:pPr>
            <w:r>
              <w:rPr>
                <w:rFonts w:ascii="Arial" w:hAnsi="Arial" w:cs="Arial"/>
              </w:rPr>
              <w:t>CHC</w:t>
            </w:r>
            <w:r w:rsidR="000931A3">
              <w:rPr>
                <w:rFonts w:ascii="Arial" w:hAnsi="Arial" w:cs="Arial"/>
              </w:rPr>
              <w:t xml:space="preserve">: </w:t>
            </w:r>
            <w:r w:rsidR="008C0562" w:rsidRPr="00ED1931">
              <w:rPr>
                <w:rFonts w:ascii="Arial" w:hAnsi="Arial" w:cs="Arial"/>
              </w:rPr>
              <w:t xml:space="preserve">Where the NHS contributes funding to a primarily social care-funded package of care for an individual who is not eligible for CHC but has a clearly evidenced health need that the NHS is responsible for funding. </w:t>
            </w:r>
          </w:p>
          <w:p w14:paraId="6D93F587" w14:textId="7146E373" w:rsidR="008C0562" w:rsidRPr="00ED1931" w:rsidRDefault="00043C80" w:rsidP="00AE3E3F">
            <w:pPr>
              <w:ind w:left="0"/>
              <w:rPr>
                <w:rFonts w:ascii="Arial" w:hAnsi="Arial" w:cs="Arial"/>
              </w:rPr>
            </w:pPr>
            <w:r>
              <w:rPr>
                <w:rFonts w:ascii="Arial" w:hAnsi="Arial" w:cs="Arial"/>
              </w:rPr>
              <w:t xml:space="preserve">CYPCC: </w:t>
            </w:r>
            <w:r w:rsidR="00B551A7">
              <w:rPr>
                <w:rFonts w:ascii="Arial" w:hAnsi="Arial" w:cs="Arial"/>
              </w:rPr>
              <w:t xml:space="preserve">This may include </w:t>
            </w:r>
            <w:r>
              <w:rPr>
                <w:rFonts w:ascii="Arial" w:hAnsi="Arial" w:cs="Arial"/>
              </w:rPr>
              <w:t xml:space="preserve">joint or </w:t>
            </w:r>
            <w:r w:rsidR="00B551A7">
              <w:rPr>
                <w:rFonts w:ascii="Arial" w:hAnsi="Arial" w:cs="Arial"/>
              </w:rPr>
              <w:t xml:space="preserve">Tri part funding with </w:t>
            </w:r>
            <w:r w:rsidR="00D022B0">
              <w:rPr>
                <w:rFonts w:ascii="Arial" w:hAnsi="Arial" w:cs="Arial"/>
              </w:rPr>
              <w:t>E</w:t>
            </w:r>
            <w:r w:rsidR="00B551A7">
              <w:rPr>
                <w:rFonts w:ascii="Arial" w:hAnsi="Arial" w:cs="Arial"/>
              </w:rPr>
              <w:t>ducation</w:t>
            </w:r>
            <w:r w:rsidR="00DA606F">
              <w:rPr>
                <w:rFonts w:ascii="Arial" w:hAnsi="Arial" w:cs="Arial"/>
              </w:rPr>
              <w:t>/social care</w:t>
            </w:r>
          </w:p>
        </w:tc>
      </w:tr>
      <w:tr w:rsidR="008C0562" w14:paraId="0F535A21" w14:textId="77777777" w:rsidTr="000C04BC">
        <w:tc>
          <w:tcPr>
            <w:tcW w:w="1827" w:type="dxa"/>
          </w:tcPr>
          <w:p w14:paraId="7555EA4A" w14:textId="77777777" w:rsidR="008C0562" w:rsidRPr="00ED1931" w:rsidRDefault="008C0562" w:rsidP="00AE3E3F">
            <w:pPr>
              <w:ind w:left="0"/>
              <w:rPr>
                <w:rFonts w:ascii="Arial" w:hAnsi="Arial" w:cs="Arial"/>
              </w:rPr>
            </w:pPr>
            <w:r>
              <w:rPr>
                <w:rFonts w:ascii="Arial" w:hAnsi="Arial" w:cs="Arial"/>
              </w:rPr>
              <w:t>Lasting Power of Attorney</w:t>
            </w:r>
          </w:p>
        </w:tc>
        <w:tc>
          <w:tcPr>
            <w:tcW w:w="1804" w:type="dxa"/>
          </w:tcPr>
          <w:p w14:paraId="7C0A03BA" w14:textId="77777777" w:rsidR="008C0562" w:rsidRPr="00ED1931" w:rsidRDefault="008C0562" w:rsidP="00AE3E3F">
            <w:pPr>
              <w:ind w:left="0"/>
              <w:rPr>
                <w:rFonts w:ascii="Arial" w:hAnsi="Arial" w:cs="Arial"/>
              </w:rPr>
            </w:pPr>
            <w:r>
              <w:rPr>
                <w:rFonts w:ascii="Arial" w:hAnsi="Arial" w:cs="Arial"/>
              </w:rPr>
              <w:t>LPA</w:t>
            </w:r>
          </w:p>
        </w:tc>
        <w:tc>
          <w:tcPr>
            <w:tcW w:w="5390" w:type="dxa"/>
          </w:tcPr>
          <w:p w14:paraId="273DF7AC" w14:textId="19208A98" w:rsidR="008C0562" w:rsidRPr="00ED1931" w:rsidRDefault="00A02F76" w:rsidP="001C58C4">
            <w:pPr>
              <w:shd w:val="clear" w:color="auto" w:fill="FFFFFF"/>
              <w:spacing w:before="120" w:after="120"/>
              <w:ind w:left="0"/>
              <w:rPr>
                <w:rFonts w:ascii="Arial" w:hAnsi="Arial" w:cs="Arial"/>
              </w:rPr>
            </w:pPr>
            <w:r w:rsidRPr="00A02F76">
              <w:rPr>
                <w:rFonts w:ascii="Arial" w:hAnsi="Arial" w:cs="Arial"/>
              </w:rPr>
              <w:t xml:space="preserve">A legal document that lets the ‘donor’ appoint one or more people (known as ‘attorneys’) to help </w:t>
            </w:r>
            <w:r>
              <w:rPr>
                <w:rFonts w:ascii="Arial" w:hAnsi="Arial" w:cs="Arial"/>
              </w:rPr>
              <w:t xml:space="preserve">them </w:t>
            </w:r>
            <w:r w:rsidRPr="00A02F76">
              <w:rPr>
                <w:rFonts w:ascii="Arial" w:hAnsi="Arial" w:cs="Arial"/>
              </w:rPr>
              <w:t xml:space="preserve">make decisions or to make decisions on </w:t>
            </w:r>
            <w:r>
              <w:rPr>
                <w:rFonts w:ascii="Arial" w:hAnsi="Arial" w:cs="Arial"/>
              </w:rPr>
              <w:t xml:space="preserve">their </w:t>
            </w:r>
            <w:r w:rsidRPr="00A02F76">
              <w:rPr>
                <w:rFonts w:ascii="Arial" w:hAnsi="Arial" w:cs="Arial"/>
              </w:rPr>
              <w:t>behalf</w:t>
            </w:r>
            <w:r>
              <w:rPr>
                <w:rFonts w:ascii="Arial" w:hAnsi="Arial" w:cs="Arial"/>
              </w:rPr>
              <w:t xml:space="preserve"> if they lack mental capacity</w:t>
            </w:r>
            <w:r w:rsidRPr="00A02F76">
              <w:rPr>
                <w:rFonts w:ascii="Arial" w:hAnsi="Arial" w:cs="Arial"/>
              </w:rPr>
              <w:t>.</w:t>
            </w:r>
          </w:p>
        </w:tc>
      </w:tr>
      <w:tr w:rsidR="008C0562" w14:paraId="1EF2CC8F" w14:textId="77777777" w:rsidTr="000C04BC">
        <w:tc>
          <w:tcPr>
            <w:tcW w:w="1827" w:type="dxa"/>
          </w:tcPr>
          <w:p w14:paraId="0BB552E6" w14:textId="77777777" w:rsidR="008C0562" w:rsidRPr="00ED1931" w:rsidRDefault="008C0562" w:rsidP="00AE3E3F">
            <w:pPr>
              <w:ind w:left="0"/>
              <w:rPr>
                <w:rFonts w:ascii="Arial" w:hAnsi="Arial" w:cs="Arial"/>
              </w:rPr>
            </w:pPr>
            <w:r>
              <w:rPr>
                <w:rFonts w:ascii="Arial" w:hAnsi="Arial" w:cs="Arial"/>
              </w:rPr>
              <w:t>Liberty Protection Safeguards</w:t>
            </w:r>
          </w:p>
        </w:tc>
        <w:tc>
          <w:tcPr>
            <w:tcW w:w="1804" w:type="dxa"/>
          </w:tcPr>
          <w:p w14:paraId="4639E9CB" w14:textId="77777777" w:rsidR="008C0562" w:rsidRPr="00ED1931" w:rsidRDefault="008C0562" w:rsidP="00AE3E3F">
            <w:pPr>
              <w:ind w:left="0"/>
              <w:rPr>
                <w:rFonts w:ascii="Arial" w:hAnsi="Arial" w:cs="Arial"/>
              </w:rPr>
            </w:pPr>
            <w:r>
              <w:rPr>
                <w:rFonts w:ascii="Arial" w:hAnsi="Arial" w:cs="Arial"/>
              </w:rPr>
              <w:t>LPS</w:t>
            </w:r>
          </w:p>
        </w:tc>
        <w:tc>
          <w:tcPr>
            <w:tcW w:w="5390" w:type="dxa"/>
          </w:tcPr>
          <w:p w14:paraId="36CAD8FA" w14:textId="3C9A7A0E" w:rsidR="008C0562" w:rsidRPr="00ED1931" w:rsidRDefault="001C58C4" w:rsidP="00AE3E3F">
            <w:pPr>
              <w:ind w:left="0"/>
              <w:rPr>
                <w:rFonts w:ascii="Arial" w:hAnsi="Arial" w:cs="Arial"/>
              </w:rPr>
            </w:pPr>
            <w:r w:rsidRPr="001C58C4">
              <w:rPr>
                <w:rFonts w:ascii="Arial" w:hAnsi="Arial" w:cs="Arial"/>
              </w:rPr>
              <w:t>The replace</w:t>
            </w:r>
            <w:r>
              <w:rPr>
                <w:rFonts w:ascii="Arial" w:hAnsi="Arial" w:cs="Arial"/>
              </w:rPr>
              <w:t xml:space="preserve">ment for </w:t>
            </w:r>
            <w:r w:rsidRPr="001C58C4">
              <w:rPr>
                <w:rFonts w:ascii="Arial" w:hAnsi="Arial" w:cs="Arial"/>
              </w:rPr>
              <w:t>DoLS</w:t>
            </w:r>
            <w:r>
              <w:rPr>
                <w:rFonts w:ascii="Arial" w:hAnsi="Arial" w:cs="Arial"/>
              </w:rPr>
              <w:t xml:space="preserve">, </w:t>
            </w:r>
            <w:r w:rsidRPr="001C58C4">
              <w:rPr>
                <w:rFonts w:ascii="Arial" w:hAnsi="Arial" w:cs="Arial"/>
              </w:rPr>
              <w:t>announced in a Mental Capacity (Amendment) Bill which passed into law in May 2019. Key features will include starting at 16 years of age, and deprivations of liberty having to be authorised in advance by the ‘responsible body’.</w:t>
            </w:r>
          </w:p>
        </w:tc>
      </w:tr>
      <w:tr w:rsidR="008C0562" w14:paraId="2D91DEDC" w14:textId="77777777" w:rsidTr="000C04BC">
        <w:tc>
          <w:tcPr>
            <w:tcW w:w="1827" w:type="dxa"/>
          </w:tcPr>
          <w:p w14:paraId="639E4657" w14:textId="77777777" w:rsidR="008C0562" w:rsidRPr="00ED1931" w:rsidRDefault="008C0562" w:rsidP="00AE3E3F">
            <w:pPr>
              <w:ind w:left="0"/>
              <w:rPr>
                <w:rFonts w:ascii="Arial" w:hAnsi="Arial" w:cs="Arial"/>
              </w:rPr>
            </w:pPr>
            <w:r w:rsidRPr="00ED1931">
              <w:rPr>
                <w:rFonts w:ascii="Arial" w:hAnsi="Arial" w:cs="Arial"/>
              </w:rPr>
              <w:t>Local Appeal Panel</w:t>
            </w:r>
          </w:p>
        </w:tc>
        <w:tc>
          <w:tcPr>
            <w:tcW w:w="1804" w:type="dxa"/>
          </w:tcPr>
          <w:p w14:paraId="49FD60E1" w14:textId="77777777" w:rsidR="008C0562" w:rsidRPr="00ED1931" w:rsidRDefault="008C0562" w:rsidP="00AE3E3F">
            <w:pPr>
              <w:ind w:left="0"/>
              <w:rPr>
                <w:rFonts w:ascii="Arial" w:hAnsi="Arial" w:cs="Arial"/>
              </w:rPr>
            </w:pPr>
            <w:r w:rsidRPr="00ED1931">
              <w:rPr>
                <w:rFonts w:ascii="Arial" w:hAnsi="Arial" w:cs="Arial"/>
              </w:rPr>
              <w:t>LAP</w:t>
            </w:r>
          </w:p>
        </w:tc>
        <w:tc>
          <w:tcPr>
            <w:tcW w:w="5390" w:type="dxa"/>
          </w:tcPr>
          <w:p w14:paraId="187A7973" w14:textId="47909934" w:rsidR="008C0562" w:rsidRPr="00ED1931" w:rsidRDefault="008C0562" w:rsidP="00AE3E3F">
            <w:pPr>
              <w:ind w:left="0"/>
              <w:rPr>
                <w:rFonts w:ascii="Arial" w:hAnsi="Arial" w:cs="Arial"/>
              </w:rPr>
            </w:pPr>
            <w:r w:rsidRPr="00ED1931">
              <w:rPr>
                <w:rFonts w:ascii="Arial" w:hAnsi="Arial" w:cs="Arial"/>
              </w:rPr>
              <w:t>A formal panel approach to review of a</w:t>
            </w:r>
            <w:r w:rsidR="00DA606F">
              <w:rPr>
                <w:rFonts w:ascii="Arial" w:hAnsi="Arial" w:cs="Arial"/>
              </w:rPr>
              <w:t>n</w:t>
            </w:r>
            <w:r w:rsidRPr="00ED1931">
              <w:rPr>
                <w:rFonts w:ascii="Arial" w:hAnsi="Arial" w:cs="Arial"/>
              </w:rPr>
              <w:t xml:space="preserve"> </w:t>
            </w:r>
            <w:r w:rsidR="002148CE">
              <w:rPr>
                <w:rFonts w:ascii="Arial" w:hAnsi="Arial" w:cs="Arial"/>
              </w:rPr>
              <w:t>individual</w:t>
            </w:r>
            <w:r w:rsidRPr="00ED1931">
              <w:rPr>
                <w:rFonts w:ascii="Arial" w:hAnsi="Arial" w:cs="Arial"/>
              </w:rPr>
              <w:t xml:space="preserve"> / family disputed eligibility decision. </w:t>
            </w:r>
          </w:p>
        </w:tc>
      </w:tr>
      <w:tr w:rsidR="008C0562" w14:paraId="6AA93C32" w14:textId="77777777" w:rsidTr="000C04BC">
        <w:tc>
          <w:tcPr>
            <w:tcW w:w="1827" w:type="dxa"/>
          </w:tcPr>
          <w:p w14:paraId="501F6C99" w14:textId="77777777" w:rsidR="008C0562" w:rsidRPr="00ED1931" w:rsidRDefault="008C0562" w:rsidP="00AE3E3F">
            <w:pPr>
              <w:ind w:left="0"/>
              <w:rPr>
                <w:rFonts w:ascii="Arial" w:hAnsi="Arial" w:cs="Arial"/>
              </w:rPr>
            </w:pPr>
            <w:r>
              <w:rPr>
                <w:rFonts w:ascii="Arial" w:hAnsi="Arial" w:cs="Arial"/>
              </w:rPr>
              <w:t>Local Health and Care Records</w:t>
            </w:r>
          </w:p>
        </w:tc>
        <w:tc>
          <w:tcPr>
            <w:tcW w:w="1804" w:type="dxa"/>
          </w:tcPr>
          <w:p w14:paraId="6095F8C8" w14:textId="77777777" w:rsidR="008C0562" w:rsidRPr="00ED1931" w:rsidRDefault="008C0562" w:rsidP="00AE3E3F">
            <w:pPr>
              <w:ind w:left="0"/>
              <w:rPr>
                <w:rFonts w:ascii="Arial" w:hAnsi="Arial" w:cs="Arial"/>
              </w:rPr>
            </w:pPr>
            <w:r>
              <w:rPr>
                <w:rFonts w:ascii="Arial" w:hAnsi="Arial" w:cs="Arial"/>
              </w:rPr>
              <w:t>LHCR</w:t>
            </w:r>
          </w:p>
        </w:tc>
        <w:tc>
          <w:tcPr>
            <w:tcW w:w="5390" w:type="dxa"/>
          </w:tcPr>
          <w:p w14:paraId="7475EA45" w14:textId="1C3DF86F" w:rsidR="008C0562" w:rsidRPr="00ED1931" w:rsidRDefault="002148CE" w:rsidP="001C58C4">
            <w:pPr>
              <w:pStyle w:val="NormalWeb"/>
              <w:spacing w:before="240" w:beforeAutospacing="0" w:after="0" w:afterAutospacing="0"/>
              <w:rPr>
                <w:rFonts w:ascii="Arial" w:hAnsi="Arial" w:cs="Arial"/>
              </w:rPr>
            </w:pPr>
            <w:r>
              <w:rPr>
                <w:rFonts w:ascii="Arial" w:eastAsiaTheme="minorHAnsi" w:hAnsi="Arial" w:cs="Arial"/>
                <w:color w:val="231F20" w:themeColor="text1"/>
                <w:lang w:eastAsia="en-US"/>
              </w:rPr>
              <w:t>Individual</w:t>
            </w:r>
            <w:r w:rsidR="001C58C4" w:rsidRPr="001C58C4">
              <w:rPr>
                <w:rFonts w:ascii="Arial" w:eastAsiaTheme="minorHAnsi" w:hAnsi="Arial" w:cs="Arial"/>
                <w:color w:val="231F20" w:themeColor="text1"/>
                <w:lang w:eastAsia="en-US"/>
              </w:rPr>
              <w:t>s’ electronic health records</w:t>
            </w:r>
            <w:r w:rsidR="001C58C4">
              <w:rPr>
                <w:rFonts w:ascii="Arial" w:eastAsiaTheme="minorHAnsi" w:hAnsi="Arial" w:cs="Arial"/>
                <w:color w:val="231F20" w:themeColor="text1"/>
                <w:lang w:eastAsia="en-US"/>
              </w:rPr>
              <w:t>, which in</w:t>
            </w:r>
            <w:r w:rsidR="001C58C4" w:rsidRPr="001C58C4">
              <w:rPr>
                <w:rFonts w:ascii="Arial" w:eastAsiaTheme="minorHAnsi" w:hAnsi="Arial" w:cs="Arial"/>
                <w:color w:val="231F20" w:themeColor="text1"/>
                <w:lang w:eastAsia="en-US"/>
              </w:rPr>
              <w:t>clude information from multi care settings e.g. GP practice</w:t>
            </w:r>
            <w:r w:rsidR="001C58C4">
              <w:rPr>
                <w:rFonts w:ascii="Arial" w:eastAsiaTheme="minorHAnsi" w:hAnsi="Arial" w:cs="Arial"/>
                <w:color w:val="231F20" w:themeColor="text1"/>
                <w:lang w:eastAsia="en-US"/>
              </w:rPr>
              <w:t>s and hospitals</w:t>
            </w:r>
            <w:r w:rsidR="001C58C4" w:rsidRPr="001C58C4">
              <w:rPr>
                <w:rFonts w:ascii="Arial" w:eastAsiaTheme="minorHAnsi" w:hAnsi="Arial" w:cs="Arial"/>
                <w:color w:val="231F20" w:themeColor="text1"/>
                <w:lang w:eastAsia="en-US"/>
              </w:rPr>
              <w:t>.</w:t>
            </w:r>
          </w:p>
        </w:tc>
      </w:tr>
      <w:tr w:rsidR="008C0562" w14:paraId="122C97E2" w14:textId="77777777" w:rsidTr="000C04BC">
        <w:tc>
          <w:tcPr>
            <w:tcW w:w="1827" w:type="dxa"/>
          </w:tcPr>
          <w:p w14:paraId="79772FFD" w14:textId="77777777" w:rsidR="008C0562" w:rsidRPr="00ED1931" w:rsidRDefault="008C0562" w:rsidP="00AE3E3F">
            <w:pPr>
              <w:ind w:left="0"/>
              <w:rPr>
                <w:rFonts w:ascii="Arial" w:hAnsi="Arial" w:cs="Arial"/>
              </w:rPr>
            </w:pPr>
            <w:r w:rsidRPr="00ED1931">
              <w:rPr>
                <w:rFonts w:ascii="Arial" w:hAnsi="Arial" w:cs="Arial"/>
              </w:rPr>
              <w:t>Local Resolution Meeting</w:t>
            </w:r>
          </w:p>
        </w:tc>
        <w:tc>
          <w:tcPr>
            <w:tcW w:w="1804" w:type="dxa"/>
          </w:tcPr>
          <w:p w14:paraId="6C78F757" w14:textId="77777777" w:rsidR="008C0562" w:rsidRPr="00ED1931" w:rsidRDefault="008C0562" w:rsidP="00AE3E3F">
            <w:pPr>
              <w:ind w:left="0"/>
              <w:rPr>
                <w:rFonts w:ascii="Arial" w:hAnsi="Arial" w:cs="Arial"/>
              </w:rPr>
            </w:pPr>
            <w:r w:rsidRPr="00ED1931">
              <w:rPr>
                <w:rFonts w:ascii="Arial" w:hAnsi="Arial" w:cs="Arial"/>
              </w:rPr>
              <w:t>LRM</w:t>
            </w:r>
          </w:p>
        </w:tc>
        <w:tc>
          <w:tcPr>
            <w:tcW w:w="5390" w:type="dxa"/>
          </w:tcPr>
          <w:p w14:paraId="77B5BD50" w14:textId="107076A5" w:rsidR="008C0562" w:rsidRPr="00ED1931" w:rsidRDefault="008C0562" w:rsidP="00AE3E3F">
            <w:pPr>
              <w:ind w:left="0"/>
              <w:rPr>
                <w:rFonts w:ascii="Arial" w:hAnsi="Arial" w:cs="Arial"/>
              </w:rPr>
            </w:pPr>
            <w:r w:rsidRPr="00ED1931">
              <w:rPr>
                <w:rFonts w:ascii="Arial" w:hAnsi="Arial" w:cs="Arial"/>
              </w:rPr>
              <w:t xml:space="preserve">A meeting with the </w:t>
            </w:r>
            <w:r w:rsidR="002148CE">
              <w:rPr>
                <w:rFonts w:ascii="Arial" w:hAnsi="Arial" w:cs="Arial"/>
              </w:rPr>
              <w:t>individual</w:t>
            </w:r>
            <w:r w:rsidRPr="00ED1931">
              <w:rPr>
                <w:rFonts w:ascii="Arial" w:hAnsi="Arial" w:cs="Arial"/>
              </w:rPr>
              <w:t xml:space="preserve"> / family aimed at transparently reviewing and explaining the process taken to come to the eligibility decision. </w:t>
            </w:r>
          </w:p>
        </w:tc>
      </w:tr>
      <w:tr w:rsidR="008C0562" w14:paraId="1775C8AD" w14:textId="77777777" w:rsidTr="000C04BC">
        <w:tc>
          <w:tcPr>
            <w:tcW w:w="1827" w:type="dxa"/>
          </w:tcPr>
          <w:p w14:paraId="7AF27B49" w14:textId="77777777" w:rsidR="008C0562" w:rsidRDefault="008C0562" w:rsidP="00AE3E3F">
            <w:pPr>
              <w:ind w:left="0"/>
              <w:rPr>
                <w:rFonts w:ascii="Arial" w:hAnsi="Arial" w:cs="Arial"/>
              </w:rPr>
            </w:pPr>
            <w:r>
              <w:rPr>
                <w:rFonts w:ascii="Arial" w:hAnsi="Arial" w:cs="Arial"/>
              </w:rPr>
              <w:t xml:space="preserve">Multi-Disciplinary Team </w:t>
            </w:r>
          </w:p>
        </w:tc>
        <w:tc>
          <w:tcPr>
            <w:tcW w:w="1804" w:type="dxa"/>
          </w:tcPr>
          <w:p w14:paraId="4370AA23" w14:textId="77777777" w:rsidR="008C0562" w:rsidRDefault="008C0562" w:rsidP="00AE3E3F">
            <w:pPr>
              <w:ind w:left="0"/>
              <w:rPr>
                <w:rFonts w:ascii="Arial" w:hAnsi="Arial" w:cs="Arial"/>
              </w:rPr>
            </w:pPr>
            <w:r>
              <w:rPr>
                <w:rFonts w:ascii="Arial" w:hAnsi="Arial" w:cs="Arial"/>
              </w:rPr>
              <w:t>MDT</w:t>
            </w:r>
          </w:p>
        </w:tc>
        <w:tc>
          <w:tcPr>
            <w:tcW w:w="5390" w:type="dxa"/>
          </w:tcPr>
          <w:p w14:paraId="543BDC0D" w14:textId="0092EAEF" w:rsidR="001C58C4" w:rsidRPr="00ED1931" w:rsidRDefault="001C58C4" w:rsidP="001C58C4">
            <w:pPr>
              <w:ind w:left="0"/>
              <w:rPr>
                <w:rFonts w:ascii="Arial" w:hAnsi="Arial" w:cs="Arial"/>
              </w:rPr>
            </w:pPr>
            <w:r>
              <w:rPr>
                <w:rFonts w:ascii="Arial" w:hAnsi="Arial" w:cs="Arial"/>
              </w:rPr>
              <w:t xml:space="preserve">For </w:t>
            </w:r>
            <w:r w:rsidR="00043C80">
              <w:rPr>
                <w:rFonts w:ascii="Arial" w:hAnsi="Arial" w:cs="Arial"/>
              </w:rPr>
              <w:t>AACC</w:t>
            </w:r>
            <w:r>
              <w:rPr>
                <w:rFonts w:ascii="Arial" w:hAnsi="Arial" w:cs="Arial"/>
              </w:rPr>
              <w:t xml:space="preserve">, an MDT is defined as at least two care professionals from different disciplines. </w:t>
            </w:r>
            <w:r>
              <w:rPr>
                <w:rFonts w:ascii="Arial" w:hAnsi="Arial" w:cs="Arial"/>
                <w:color w:val="202124"/>
                <w:shd w:val="clear" w:color="auto" w:fill="FFFFFF"/>
              </w:rPr>
              <w:t>These should be practitioners who know the individual and are knowledgeable about their specific care needs.</w:t>
            </w:r>
            <w:r>
              <w:rPr>
                <w:rFonts w:ascii="Arial" w:hAnsi="Arial" w:cs="Arial"/>
              </w:rPr>
              <w:t xml:space="preserve"> </w:t>
            </w:r>
          </w:p>
        </w:tc>
      </w:tr>
      <w:tr w:rsidR="008C0562" w14:paraId="12E25586" w14:textId="77777777" w:rsidTr="000C04BC">
        <w:tc>
          <w:tcPr>
            <w:tcW w:w="1827" w:type="dxa"/>
          </w:tcPr>
          <w:p w14:paraId="58A3C333" w14:textId="77777777" w:rsidR="008C0562" w:rsidRPr="00AC2667" w:rsidRDefault="008C0562" w:rsidP="00AE3E3F">
            <w:pPr>
              <w:ind w:left="0"/>
              <w:rPr>
                <w:rFonts w:ascii="Arial" w:hAnsi="Arial" w:cs="Arial"/>
              </w:rPr>
            </w:pPr>
            <w:r>
              <w:rPr>
                <w:rFonts w:ascii="Arial" w:hAnsi="Arial" w:cs="Arial"/>
              </w:rPr>
              <w:t>Mental Capacity Act</w:t>
            </w:r>
          </w:p>
        </w:tc>
        <w:tc>
          <w:tcPr>
            <w:tcW w:w="1804" w:type="dxa"/>
          </w:tcPr>
          <w:p w14:paraId="1D846F85" w14:textId="77777777" w:rsidR="008C0562" w:rsidRDefault="008C0562" w:rsidP="00AE3E3F">
            <w:pPr>
              <w:ind w:left="0"/>
              <w:rPr>
                <w:rFonts w:ascii="Arial" w:hAnsi="Arial" w:cs="Arial"/>
              </w:rPr>
            </w:pPr>
            <w:r>
              <w:rPr>
                <w:rFonts w:ascii="Arial" w:hAnsi="Arial" w:cs="Arial"/>
              </w:rPr>
              <w:t>MCA</w:t>
            </w:r>
          </w:p>
        </w:tc>
        <w:tc>
          <w:tcPr>
            <w:tcW w:w="5390" w:type="dxa"/>
          </w:tcPr>
          <w:p w14:paraId="7CB6FBAF" w14:textId="249BC0D0" w:rsidR="008C0562" w:rsidRPr="00ED1931" w:rsidRDefault="001C58C4" w:rsidP="006F46F1">
            <w:pPr>
              <w:shd w:val="clear" w:color="auto" w:fill="FFFFFF"/>
              <w:spacing w:before="120" w:after="120"/>
              <w:ind w:left="0"/>
              <w:rPr>
                <w:rFonts w:ascii="Arial" w:hAnsi="Arial" w:cs="Arial"/>
              </w:rPr>
            </w:pPr>
            <w:r>
              <w:rPr>
                <w:rFonts w:ascii="Arial" w:hAnsi="Arial" w:cs="Arial"/>
              </w:rPr>
              <w:t>A legal framework to support decision-making as to the ability of an individual to make decisions</w:t>
            </w:r>
            <w:r w:rsidR="006F46F1">
              <w:rPr>
                <w:rFonts w:ascii="Arial" w:hAnsi="Arial" w:cs="Arial"/>
              </w:rPr>
              <w:t xml:space="preserve">. </w:t>
            </w:r>
            <w:r w:rsidR="006F46F1" w:rsidRPr="006F46F1">
              <w:rPr>
                <w:rFonts w:ascii="Arial" w:hAnsi="Arial" w:cs="Arial"/>
              </w:rPr>
              <w:t xml:space="preserve">The </w:t>
            </w:r>
            <w:r w:rsidR="006F46F1">
              <w:rPr>
                <w:rFonts w:ascii="Arial" w:hAnsi="Arial" w:cs="Arial"/>
              </w:rPr>
              <w:t>A</w:t>
            </w:r>
            <w:r w:rsidR="006F46F1" w:rsidRPr="006F46F1">
              <w:rPr>
                <w:rFonts w:ascii="Arial" w:hAnsi="Arial" w:cs="Arial"/>
              </w:rPr>
              <w:t xml:space="preserve">ct </w:t>
            </w:r>
            <w:r w:rsidR="006F46F1">
              <w:rPr>
                <w:rFonts w:ascii="Arial" w:hAnsi="Arial" w:cs="Arial"/>
              </w:rPr>
              <w:t xml:space="preserve">has </w:t>
            </w:r>
            <w:r w:rsidR="006F46F1" w:rsidRPr="006F46F1">
              <w:rPr>
                <w:rFonts w:ascii="Arial" w:hAnsi="Arial" w:cs="Arial"/>
              </w:rPr>
              <w:t xml:space="preserve">five </w:t>
            </w:r>
            <w:r w:rsidR="006F46F1">
              <w:rPr>
                <w:rFonts w:ascii="Arial" w:hAnsi="Arial" w:cs="Arial"/>
              </w:rPr>
              <w:t xml:space="preserve">main </w:t>
            </w:r>
            <w:r w:rsidR="006F46F1" w:rsidRPr="006F46F1">
              <w:rPr>
                <w:rFonts w:ascii="Arial" w:hAnsi="Arial" w:cs="Arial"/>
              </w:rPr>
              <w:t>principles</w:t>
            </w:r>
            <w:r w:rsidR="006F46F1">
              <w:rPr>
                <w:rFonts w:ascii="Arial" w:hAnsi="Arial" w:cs="Arial"/>
              </w:rPr>
              <w:t>: p</w:t>
            </w:r>
            <w:r w:rsidR="006F46F1" w:rsidRPr="006F46F1">
              <w:rPr>
                <w:rFonts w:ascii="Arial" w:hAnsi="Arial" w:cs="Arial"/>
              </w:rPr>
              <w:t>resumption of capacity</w:t>
            </w:r>
            <w:r w:rsidR="006F46F1">
              <w:rPr>
                <w:rFonts w:ascii="Arial" w:hAnsi="Arial" w:cs="Arial"/>
              </w:rPr>
              <w:t>; s</w:t>
            </w:r>
            <w:r w:rsidR="006F46F1" w:rsidRPr="006F46F1">
              <w:rPr>
                <w:rFonts w:ascii="Arial" w:hAnsi="Arial" w:cs="Arial"/>
              </w:rPr>
              <w:t>upport to make a decision</w:t>
            </w:r>
            <w:r w:rsidR="006F46F1">
              <w:rPr>
                <w:rFonts w:ascii="Arial" w:hAnsi="Arial" w:cs="Arial"/>
              </w:rPr>
              <w:t>; a</w:t>
            </w:r>
            <w:r w:rsidR="006F46F1" w:rsidRPr="006F46F1">
              <w:rPr>
                <w:rFonts w:ascii="Arial" w:hAnsi="Arial" w:cs="Arial"/>
              </w:rPr>
              <w:t>bility to make unwise decisions</w:t>
            </w:r>
            <w:r w:rsidR="006F46F1">
              <w:rPr>
                <w:rFonts w:ascii="Arial" w:hAnsi="Arial" w:cs="Arial"/>
              </w:rPr>
              <w:t>; b</w:t>
            </w:r>
            <w:r w:rsidR="006F46F1" w:rsidRPr="006F46F1">
              <w:rPr>
                <w:rFonts w:ascii="Arial" w:hAnsi="Arial" w:cs="Arial"/>
              </w:rPr>
              <w:t>est interest</w:t>
            </w:r>
            <w:r w:rsidR="006F46F1">
              <w:rPr>
                <w:rFonts w:ascii="Arial" w:hAnsi="Arial" w:cs="Arial"/>
              </w:rPr>
              <w:t>s; l</w:t>
            </w:r>
            <w:r w:rsidR="006F46F1" w:rsidRPr="006F46F1">
              <w:rPr>
                <w:rFonts w:ascii="Arial" w:hAnsi="Arial" w:cs="Arial"/>
              </w:rPr>
              <w:t>east restrictive.</w:t>
            </w:r>
          </w:p>
        </w:tc>
      </w:tr>
      <w:tr w:rsidR="008C0562" w14:paraId="26D454BD" w14:textId="77777777" w:rsidTr="000C04BC">
        <w:tc>
          <w:tcPr>
            <w:tcW w:w="1827" w:type="dxa"/>
          </w:tcPr>
          <w:p w14:paraId="0FF7AD5B" w14:textId="77777777" w:rsidR="008C0562" w:rsidRPr="00AC2667" w:rsidRDefault="008C0562" w:rsidP="00AE3E3F">
            <w:pPr>
              <w:ind w:left="0"/>
              <w:rPr>
                <w:rFonts w:ascii="Arial" w:hAnsi="Arial" w:cs="Arial"/>
              </w:rPr>
            </w:pPr>
            <w:r>
              <w:rPr>
                <w:rFonts w:ascii="Arial" w:hAnsi="Arial" w:cs="Arial"/>
              </w:rPr>
              <w:t xml:space="preserve">Needs Portrayal Document </w:t>
            </w:r>
          </w:p>
        </w:tc>
        <w:tc>
          <w:tcPr>
            <w:tcW w:w="1804" w:type="dxa"/>
          </w:tcPr>
          <w:p w14:paraId="2BC22DF6" w14:textId="77777777" w:rsidR="008C0562" w:rsidRDefault="008C0562" w:rsidP="00AE3E3F">
            <w:pPr>
              <w:ind w:left="0"/>
              <w:rPr>
                <w:rFonts w:ascii="Arial" w:hAnsi="Arial" w:cs="Arial"/>
              </w:rPr>
            </w:pPr>
            <w:r>
              <w:rPr>
                <w:rFonts w:ascii="Arial" w:hAnsi="Arial" w:cs="Arial"/>
              </w:rPr>
              <w:t>NPD</w:t>
            </w:r>
          </w:p>
        </w:tc>
        <w:tc>
          <w:tcPr>
            <w:tcW w:w="5390" w:type="dxa"/>
          </w:tcPr>
          <w:p w14:paraId="536A0F28" w14:textId="44473E3C" w:rsidR="008C0562" w:rsidRPr="00ED1931" w:rsidRDefault="006F46F1" w:rsidP="00AE3E3F">
            <w:pPr>
              <w:ind w:left="0"/>
              <w:rPr>
                <w:rFonts w:ascii="Arial" w:hAnsi="Arial" w:cs="Arial"/>
              </w:rPr>
            </w:pPr>
            <w:r w:rsidRPr="006F46F1">
              <w:rPr>
                <w:rFonts w:ascii="Arial" w:hAnsi="Arial" w:cs="Arial"/>
              </w:rPr>
              <w:t xml:space="preserve">A </w:t>
            </w:r>
            <w:r>
              <w:rPr>
                <w:rFonts w:ascii="Arial" w:hAnsi="Arial" w:cs="Arial"/>
              </w:rPr>
              <w:t>d</w:t>
            </w:r>
            <w:r w:rsidRPr="006F46F1">
              <w:rPr>
                <w:rFonts w:ascii="Arial" w:hAnsi="Arial" w:cs="Arial"/>
              </w:rPr>
              <w:t>ocument similar to the DST</w:t>
            </w:r>
            <w:r>
              <w:rPr>
                <w:rFonts w:ascii="Arial" w:hAnsi="Arial" w:cs="Arial"/>
              </w:rPr>
              <w:t xml:space="preserve">, but used </w:t>
            </w:r>
            <w:r w:rsidRPr="006F46F1">
              <w:rPr>
                <w:rFonts w:ascii="Arial" w:hAnsi="Arial" w:cs="Arial"/>
              </w:rPr>
              <w:t>to collate information spanning several years</w:t>
            </w:r>
            <w:r>
              <w:rPr>
                <w:rFonts w:ascii="Arial" w:hAnsi="Arial" w:cs="Arial"/>
              </w:rPr>
              <w:t xml:space="preserve">, </w:t>
            </w:r>
            <w:r w:rsidRPr="006F46F1">
              <w:rPr>
                <w:rFonts w:ascii="Arial" w:hAnsi="Arial" w:cs="Arial"/>
              </w:rPr>
              <w:t>to assist the CCG in deciding whether the individual had healthcare needs or social care needs.</w:t>
            </w:r>
          </w:p>
        </w:tc>
      </w:tr>
      <w:tr w:rsidR="008C0562" w14:paraId="1A2A5F45" w14:textId="77777777" w:rsidTr="000C04BC">
        <w:tc>
          <w:tcPr>
            <w:tcW w:w="1827" w:type="dxa"/>
          </w:tcPr>
          <w:p w14:paraId="6AC30B21" w14:textId="77777777" w:rsidR="008C0562" w:rsidRDefault="008C0562" w:rsidP="00AE3E3F">
            <w:pPr>
              <w:ind w:left="0"/>
              <w:rPr>
                <w:rFonts w:ascii="Arial" w:hAnsi="Arial" w:cs="Arial"/>
              </w:rPr>
            </w:pPr>
            <w:r>
              <w:rPr>
                <w:rFonts w:ascii="Arial" w:hAnsi="Arial" w:cs="Arial"/>
              </w:rPr>
              <w:t>Nursing Needs Assessment</w:t>
            </w:r>
          </w:p>
        </w:tc>
        <w:tc>
          <w:tcPr>
            <w:tcW w:w="1804" w:type="dxa"/>
          </w:tcPr>
          <w:p w14:paraId="578ED1B8" w14:textId="77777777" w:rsidR="008C0562" w:rsidRDefault="008C0562" w:rsidP="00AE3E3F">
            <w:pPr>
              <w:ind w:left="0"/>
              <w:rPr>
                <w:rFonts w:ascii="Arial" w:hAnsi="Arial" w:cs="Arial"/>
              </w:rPr>
            </w:pPr>
            <w:r>
              <w:rPr>
                <w:rFonts w:ascii="Arial" w:hAnsi="Arial" w:cs="Arial"/>
              </w:rPr>
              <w:t>NNA</w:t>
            </w:r>
          </w:p>
        </w:tc>
        <w:tc>
          <w:tcPr>
            <w:tcW w:w="5390" w:type="dxa"/>
          </w:tcPr>
          <w:p w14:paraId="1D106CCB" w14:textId="750E919B" w:rsidR="008C0562" w:rsidRPr="00ED1931" w:rsidRDefault="006F46F1" w:rsidP="00AE3E3F">
            <w:pPr>
              <w:ind w:left="0"/>
              <w:rPr>
                <w:rFonts w:ascii="Arial" w:hAnsi="Arial" w:cs="Arial"/>
              </w:rPr>
            </w:pPr>
            <w:r>
              <w:rPr>
                <w:rFonts w:ascii="Arial" w:hAnsi="Arial" w:cs="Arial"/>
              </w:rPr>
              <w:t xml:space="preserve">An assessment of health and care needs, focussed on identifying needs that require the direct supervision of a Registered Nurse. </w:t>
            </w:r>
          </w:p>
        </w:tc>
      </w:tr>
      <w:tr w:rsidR="008C0562" w14:paraId="645C04A1" w14:textId="77777777" w:rsidTr="000C04BC">
        <w:tc>
          <w:tcPr>
            <w:tcW w:w="1827" w:type="dxa"/>
          </w:tcPr>
          <w:p w14:paraId="70E061CB" w14:textId="77777777" w:rsidR="008C0562" w:rsidRDefault="008C0562" w:rsidP="00AE3E3F">
            <w:pPr>
              <w:ind w:left="0"/>
              <w:rPr>
                <w:rFonts w:ascii="Arial" w:hAnsi="Arial" w:cs="Arial"/>
              </w:rPr>
            </w:pPr>
            <w:r>
              <w:rPr>
                <w:rFonts w:ascii="Arial" w:hAnsi="Arial" w:cs="Arial"/>
              </w:rPr>
              <w:t>Parliamentary and Health Services Ombudsman</w:t>
            </w:r>
          </w:p>
        </w:tc>
        <w:tc>
          <w:tcPr>
            <w:tcW w:w="1804" w:type="dxa"/>
          </w:tcPr>
          <w:p w14:paraId="6B14A905" w14:textId="77777777" w:rsidR="008C0562" w:rsidRDefault="008C0562" w:rsidP="00AE3E3F">
            <w:pPr>
              <w:ind w:left="0"/>
              <w:rPr>
                <w:rFonts w:ascii="Arial" w:hAnsi="Arial" w:cs="Arial"/>
              </w:rPr>
            </w:pPr>
            <w:r>
              <w:rPr>
                <w:rFonts w:ascii="Arial" w:hAnsi="Arial" w:cs="Arial"/>
              </w:rPr>
              <w:t>PHSO</w:t>
            </w:r>
          </w:p>
        </w:tc>
        <w:tc>
          <w:tcPr>
            <w:tcW w:w="5390" w:type="dxa"/>
          </w:tcPr>
          <w:p w14:paraId="12A523D3" w14:textId="1692D434" w:rsidR="008C0562" w:rsidRPr="00ED1931" w:rsidRDefault="005F78C9" w:rsidP="00AE3E3F">
            <w:pPr>
              <w:ind w:left="0"/>
              <w:rPr>
                <w:rFonts w:ascii="Arial" w:hAnsi="Arial" w:cs="Arial"/>
              </w:rPr>
            </w:pPr>
            <w:r>
              <w:rPr>
                <w:rFonts w:ascii="Arial" w:hAnsi="Arial" w:cs="Arial"/>
              </w:rPr>
              <w:t xml:space="preserve">A formal body which </w:t>
            </w:r>
            <w:r w:rsidRPr="005F78C9">
              <w:rPr>
                <w:rFonts w:ascii="Arial" w:hAnsi="Arial" w:cs="Arial"/>
              </w:rPr>
              <w:t>make</w:t>
            </w:r>
            <w:r>
              <w:rPr>
                <w:rFonts w:ascii="Arial" w:hAnsi="Arial" w:cs="Arial"/>
              </w:rPr>
              <w:t>s</w:t>
            </w:r>
            <w:r w:rsidRPr="005F78C9">
              <w:rPr>
                <w:rFonts w:ascii="Arial" w:hAnsi="Arial" w:cs="Arial"/>
              </w:rPr>
              <w:t xml:space="preserve"> final</w:t>
            </w:r>
            <w:r>
              <w:rPr>
                <w:rFonts w:ascii="Arial" w:hAnsi="Arial" w:cs="Arial"/>
              </w:rPr>
              <w:t xml:space="preserve"> </w:t>
            </w:r>
            <w:r w:rsidRPr="005F78C9">
              <w:rPr>
                <w:rFonts w:ascii="Arial" w:hAnsi="Arial" w:cs="Arial"/>
              </w:rPr>
              <w:t>decisions on complaints that have not been resolved by the NHS in England and UK government departments and other public organisations. </w:t>
            </w:r>
          </w:p>
        </w:tc>
      </w:tr>
      <w:tr w:rsidR="008C0562" w14:paraId="56118F80" w14:textId="77777777" w:rsidTr="000C04BC">
        <w:tc>
          <w:tcPr>
            <w:tcW w:w="1827" w:type="dxa"/>
          </w:tcPr>
          <w:p w14:paraId="392A906C" w14:textId="77777777" w:rsidR="008C0562" w:rsidRDefault="008C0562" w:rsidP="00AE3E3F">
            <w:pPr>
              <w:ind w:left="0"/>
              <w:rPr>
                <w:rFonts w:ascii="Arial" w:hAnsi="Arial" w:cs="Arial"/>
              </w:rPr>
            </w:pPr>
            <w:r>
              <w:rPr>
                <w:rFonts w:ascii="Arial" w:hAnsi="Arial" w:cs="Arial"/>
              </w:rPr>
              <w:t>Personal Budget</w:t>
            </w:r>
          </w:p>
        </w:tc>
        <w:tc>
          <w:tcPr>
            <w:tcW w:w="1804" w:type="dxa"/>
          </w:tcPr>
          <w:p w14:paraId="30F34358" w14:textId="77777777" w:rsidR="008C0562" w:rsidRDefault="008C0562" w:rsidP="00AE3E3F">
            <w:pPr>
              <w:ind w:left="0"/>
              <w:rPr>
                <w:rFonts w:ascii="Arial" w:hAnsi="Arial" w:cs="Arial"/>
              </w:rPr>
            </w:pPr>
            <w:r>
              <w:rPr>
                <w:rFonts w:ascii="Arial" w:hAnsi="Arial" w:cs="Arial"/>
              </w:rPr>
              <w:t>PB</w:t>
            </w:r>
          </w:p>
        </w:tc>
        <w:tc>
          <w:tcPr>
            <w:tcW w:w="5390" w:type="dxa"/>
          </w:tcPr>
          <w:p w14:paraId="7F6B6513" w14:textId="19329181" w:rsidR="008C0562" w:rsidRPr="00ED1931" w:rsidRDefault="005F78C9" w:rsidP="00AE3E3F">
            <w:pPr>
              <w:ind w:left="0"/>
              <w:rPr>
                <w:rFonts w:ascii="Arial" w:hAnsi="Arial" w:cs="Arial"/>
              </w:rPr>
            </w:pPr>
            <w:r>
              <w:rPr>
                <w:rFonts w:ascii="Arial" w:hAnsi="Arial" w:cs="Arial"/>
              </w:rPr>
              <w:t xml:space="preserve">A budget given to the individual to purchase care independently to meet their assessed needs and personal preferences.  </w:t>
            </w:r>
            <w:r w:rsidR="00B551A7">
              <w:rPr>
                <w:rFonts w:ascii="Arial" w:hAnsi="Arial" w:cs="Arial"/>
              </w:rPr>
              <w:t>This may be for a joint / tripart funded package of care</w:t>
            </w:r>
          </w:p>
        </w:tc>
      </w:tr>
      <w:tr w:rsidR="008C0562" w14:paraId="2CA58E54" w14:textId="77777777" w:rsidTr="000C04BC">
        <w:tc>
          <w:tcPr>
            <w:tcW w:w="1827" w:type="dxa"/>
          </w:tcPr>
          <w:p w14:paraId="7ABAF63E" w14:textId="77777777" w:rsidR="008C0562" w:rsidRPr="00ED1931" w:rsidRDefault="008C0562" w:rsidP="00AE3E3F">
            <w:pPr>
              <w:ind w:left="0"/>
              <w:rPr>
                <w:rFonts w:ascii="Arial" w:hAnsi="Arial" w:cs="Arial"/>
              </w:rPr>
            </w:pPr>
            <w:r w:rsidRPr="00ED1931">
              <w:rPr>
                <w:rFonts w:ascii="Arial" w:hAnsi="Arial" w:cs="Arial"/>
              </w:rPr>
              <w:t>Personal Health Budget</w:t>
            </w:r>
          </w:p>
        </w:tc>
        <w:tc>
          <w:tcPr>
            <w:tcW w:w="1804" w:type="dxa"/>
          </w:tcPr>
          <w:p w14:paraId="71859312" w14:textId="77777777" w:rsidR="008C0562" w:rsidRPr="00ED1931" w:rsidRDefault="008C0562" w:rsidP="00AE3E3F">
            <w:pPr>
              <w:ind w:left="0"/>
              <w:rPr>
                <w:rFonts w:ascii="Arial" w:hAnsi="Arial" w:cs="Arial"/>
              </w:rPr>
            </w:pPr>
            <w:r w:rsidRPr="00ED1931">
              <w:rPr>
                <w:rFonts w:ascii="Arial" w:hAnsi="Arial" w:cs="Arial"/>
              </w:rPr>
              <w:t>PHB</w:t>
            </w:r>
          </w:p>
        </w:tc>
        <w:tc>
          <w:tcPr>
            <w:tcW w:w="5390" w:type="dxa"/>
          </w:tcPr>
          <w:p w14:paraId="2C67FEC5" w14:textId="58FDA55D" w:rsidR="008C0562" w:rsidRPr="00ED1931" w:rsidRDefault="008C0562" w:rsidP="00AE3E3F">
            <w:pPr>
              <w:ind w:left="0"/>
              <w:rPr>
                <w:rFonts w:ascii="Arial" w:hAnsi="Arial" w:cs="Arial"/>
              </w:rPr>
            </w:pPr>
            <w:r w:rsidRPr="00ED1931">
              <w:rPr>
                <w:rFonts w:ascii="Arial" w:hAnsi="Arial" w:cs="Arial"/>
              </w:rPr>
              <w:t>Funding provided for a</w:t>
            </w:r>
            <w:r w:rsidR="000931A3">
              <w:rPr>
                <w:rFonts w:ascii="Arial" w:hAnsi="Arial" w:cs="Arial"/>
              </w:rPr>
              <w:t>n</w:t>
            </w:r>
            <w:r w:rsidRPr="00ED1931">
              <w:rPr>
                <w:rFonts w:ascii="Arial" w:hAnsi="Arial" w:cs="Arial"/>
              </w:rPr>
              <w:t xml:space="preserve"> </w:t>
            </w:r>
            <w:r w:rsidR="00043C80">
              <w:rPr>
                <w:rFonts w:ascii="Arial" w:hAnsi="Arial" w:cs="Arial"/>
              </w:rPr>
              <w:t>AACC</w:t>
            </w:r>
            <w:r w:rsidRPr="00ED1931">
              <w:rPr>
                <w:rFonts w:ascii="Arial" w:hAnsi="Arial" w:cs="Arial"/>
              </w:rPr>
              <w:t xml:space="preserve"> package to be delivered in a highly personalised approach, commissioned either by the ICB, via a third party, or directly by the </w:t>
            </w:r>
            <w:r w:rsidR="00043C80">
              <w:rPr>
                <w:rFonts w:ascii="Arial" w:hAnsi="Arial" w:cs="Arial"/>
              </w:rPr>
              <w:t>AACC</w:t>
            </w:r>
            <w:r w:rsidRPr="00ED1931">
              <w:rPr>
                <w:rFonts w:ascii="Arial" w:hAnsi="Arial" w:cs="Arial"/>
              </w:rPr>
              <w:t>-eligible individual / their legal representative</w:t>
            </w:r>
            <w:r w:rsidR="00B551A7">
              <w:rPr>
                <w:rFonts w:ascii="Arial" w:hAnsi="Arial" w:cs="Arial"/>
              </w:rPr>
              <w:t xml:space="preserve"> via a direct payment</w:t>
            </w:r>
            <w:r w:rsidRPr="00ED1931">
              <w:rPr>
                <w:rFonts w:ascii="Arial" w:hAnsi="Arial" w:cs="Arial"/>
              </w:rPr>
              <w:t xml:space="preserve">.    </w:t>
            </w:r>
          </w:p>
        </w:tc>
      </w:tr>
      <w:tr w:rsidR="008C0562" w14:paraId="0F2B111A" w14:textId="77777777" w:rsidTr="000C04BC">
        <w:tc>
          <w:tcPr>
            <w:tcW w:w="1827" w:type="dxa"/>
          </w:tcPr>
          <w:p w14:paraId="11D5F71B" w14:textId="77777777" w:rsidR="008C0562" w:rsidRPr="00DE1657" w:rsidRDefault="008C0562" w:rsidP="00AE3E3F">
            <w:pPr>
              <w:ind w:left="0"/>
              <w:jc w:val="both"/>
              <w:rPr>
                <w:rFonts w:ascii="Arial" w:hAnsi="Arial" w:cs="Arial"/>
              </w:rPr>
            </w:pPr>
            <w:r w:rsidRPr="00DE1657">
              <w:rPr>
                <w:rFonts w:ascii="Arial" w:hAnsi="Arial" w:cs="Arial"/>
                <w:color w:val="auto"/>
                <w:shd w:val="clear" w:color="auto" w:fill="FFFFFF"/>
              </w:rPr>
              <w:t xml:space="preserve">Previously </w:t>
            </w:r>
            <w:r>
              <w:rPr>
                <w:rFonts w:ascii="Arial" w:hAnsi="Arial" w:cs="Arial"/>
                <w:color w:val="auto"/>
                <w:shd w:val="clear" w:color="auto" w:fill="FFFFFF"/>
              </w:rPr>
              <w:t>U</w:t>
            </w:r>
            <w:r w:rsidRPr="00DE1657">
              <w:rPr>
                <w:rFonts w:ascii="Arial" w:hAnsi="Arial" w:cs="Arial"/>
                <w:color w:val="auto"/>
                <w:shd w:val="clear" w:color="auto" w:fill="FFFFFF"/>
              </w:rPr>
              <w:t xml:space="preserve">nassessed Period of Care </w:t>
            </w:r>
          </w:p>
        </w:tc>
        <w:tc>
          <w:tcPr>
            <w:tcW w:w="1804" w:type="dxa"/>
          </w:tcPr>
          <w:p w14:paraId="58757FD4" w14:textId="77777777" w:rsidR="008C0562" w:rsidRDefault="008C0562" w:rsidP="00AE3E3F">
            <w:pPr>
              <w:ind w:left="0"/>
              <w:rPr>
                <w:rFonts w:ascii="Arial" w:hAnsi="Arial" w:cs="Arial"/>
              </w:rPr>
            </w:pPr>
            <w:r w:rsidRPr="00DE1657">
              <w:rPr>
                <w:rFonts w:ascii="Arial" w:hAnsi="Arial" w:cs="Arial"/>
                <w:color w:val="auto"/>
                <w:shd w:val="clear" w:color="auto" w:fill="FFFFFF"/>
              </w:rPr>
              <w:t>PUPoC</w:t>
            </w:r>
          </w:p>
        </w:tc>
        <w:tc>
          <w:tcPr>
            <w:tcW w:w="5390" w:type="dxa"/>
          </w:tcPr>
          <w:p w14:paraId="2EB5CA9F" w14:textId="15BDCD95" w:rsidR="008C0562" w:rsidRPr="00ED1931" w:rsidRDefault="005F78C9" w:rsidP="00AE3E3F">
            <w:pPr>
              <w:ind w:left="0"/>
              <w:rPr>
                <w:rFonts w:ascii="Arial" w:hAnsi="Arial" w:cs="Arial"/>
              </w:rPr>
            </w:pPr>
            <w:r>
              <w:rPr>
                <w:rFonts w:ascii="Arial" w:hAnsi="Arial" w:cs="Arial"/>
              </w:rPr>
              <w:t xml:space="preserve">A time period during which the </w:t>
            </w:r>
            <w:r w:rsidR="002148CE">
              <w:rPr>
                <w:rFonts w:ascii="Arial" w:hAnsi="Arial" w:cs="Arial"/>
              </w:rPr>
              <w:t>individual</w:t>
            </w:r>
            <w:r>
              <w:rPr>
                <w:rFonts w:ascii="Arial" w:hAnsi="Arial" w:cs="Arial"/>
              </w:rPr>
              <w:t xml:space="preserve"> had not been assessed for CHC funding – by Checklist, Nursing Needs Assessment or DST.  </w:t>
            </w:r>
          </w:p>
        </w:tc>
      </w:tr>
      <w:tr w:rsidR="008C0562" w14:paraId="0A93EBD0" w14:textId="77777777" w:rsidTr="000C04BC">
        <w:tc>
          <w:tcPr>
            <w:tcW w:w="1827" w:type="dxa"/>
          </w:tcPr>
          <w:p w14:paraId="023BD609" w14:textId="77777777" w:rsidR="008C0562" w:rsidRPr="00ED1931" w:rsidRDefault="008C0562" w:rsidP="00AE3E3F">
            <w:pPr>
              <w:ind w:left="0"/>
              <w:rPr>
                <w:rFonts w:ascii="Arial" w:hAnsi="Arial" w:cs="Arial"/>
              </w:rPr>
            </w:pPr>
            <w:r>
              <w:rPr>
                <w:rFonts w:ascii="Arial" w:hAnsi="Arial" w:cs="Arial"/>
              </w:rPr>
              <w:t>Primary Care Network</w:t>
            </w:r>
          </w:p>
        </w:tc>
        <w:tc>
          <w:tcPr>
            <w:tcW w:w="1804" w:type="dxa"/>
          </w:tcPr>
          <w:p w14:paraId="4C8EC49A" w14:textId="7F62B2DD" w:rsidR="008C0562" w:rsidRPr="00ED1931" w:rsidRDefault="005F78C9" w:rsidP="00AE3E3F">
            <w:pPr>
              <w:ind w:left="0"/>
              <w:rPr>
                <w:rFonts w:ascii="Arial" w:hAnsi="Arial" w:cs="Arial"/>
              </w:rPr>
            </w:pPr>
            <w:r>
              <w:rPr>
                <w:rFonts w:ascii="Arial" w:hAnsi="Arial" w:cs="Arial"/>
              </w:rPr>
              <w:t>PCN</w:t>
            </w:r>
          </w:p>
        </w:tc>
        <w:tc>
          <w:tcPr>
            <w:tcW w:w="5390" w:type="dxa"/>
          </w:tcPr>
          <w:p w14:paraId="1C191DAB" w14:textId="0A6A5DD6" w:rsidR="008C0562" w:rsidRPr="00ED1931" w:rsidRDefault="005F78C9" w:rsidP="00AE3E3F">
            <w:pPr>
              <w:ind w:left="0"/>
              <w:rPr>
                <w:rFonts w:ascii="Arial" w:hAnsi="Arial" w:cs="Arial"/>
              </w:rPr>
            </w:pPr>
            <w:r>
              <w:rPr>
                <w:rFonts w:ascii="Arial" w:hAnsi="Arial" w:cs="Arial"/>
              </w:rPr>
              <w:t xml:space="preserve">A group of GP Practices grouped together to enhance delivery of primary care services to a local population. </w:t>
            </w:r>
          </w:p>
        </w:tc>
      </w:tr>
      <w:tr w:rsidR="008C0562" w14:paraId="39F7BE84" w14:textId="77777777" w:rsidTr="000C04BC">
        <w:tc>
          <w:tcPr>
            <w:tcW w:w="1827" w:type="dxa"/>
          </w:tcPr>
          <w:p w14:paraId="67CA3100" w14:textId="77777777" w:rsidR="008C0562" w:rsidRPr="00ED1931" w:rsidRDefault="008C0562" w:rsidP="00AE3E3F">
            <w:pPr>
              <w:ind w:left="0"/>
              <w:rPr>
                <w:rFonts w:ascii="Arial" w:hAnsi="Arial" w:cs="Arial"/>
              </w:rPr>
            </w:pPr>
            <w:r w:rsidRPr="00ED1931">
              <w:rPr>
                <w:rFonts w:ascii="Arial" w:hAnsi="Arial" w:cs="Arial"/>
              </w:rPr>
              <w:t>Primary Health Need</w:t>
            </w:r>
          </w:p>
        </w:tc>
        <w:tc>
          <w:tcPr>
            <w:tcW w:w="1804" w:type="dxa"/>
          </w:tcPr>
          <w:p w14:paraId="52C6ADCE" w14:textId="77777777" w:rsidR="008C0562" w:rsidRPr="00ED1931" w:rsidRDefault="008C0562" w:rsidP="00AE3E3F">
            <w:pPr>
              <w:ind w:left="0"/>
              <w:rPr>
                <w:rFonts w:ascii="Arial" w:hAnsi="Arial" w:cs="Arial"/>
              </w:rPr>
            </w:pPr>
            <w:r w:rsidRPr="00ED1931">
              <w:rPr>
                <w:rFonts w:ascii="Arial" w:hAnsi="Arial" w:cs="Arial"/>
              </w:rPr>
              <w:t>PHN</w:t>
            </w:r>
          </w:p>
        </w:tc>
        <w:tc>
          <w:tcPr>
            <w:tcW w:w="5390" w:type="dxa"/>
          </w:tcPr>
          <w:p w14:paraId="2B06ABC0" w14:textId="77777777" w:rsidR="008C0562" w:rsidRPr="00ED1931" w:rsidRDefault="008C0562" w:rsidP="00AE3E3F">
            <w:pPr>
              <w:ind w:left="0"/>
              <w:rPr>
                <w:rFonts w:ascii="Arial" w:hAnsi="Arial" w:cs="Arial"/>
              </w:rPr>
            </w:pPr>
            <w:r w:rsidRPr="00ED1931">
              <w:rPr>
                <w:rFonts w:ascii="Arial" w:hAnsi="Arial" w:cs="Arial"/>
              </w:rPr>
              <w:t xml:space="preserve">A concept developed by the Secretary of State for Health to assist in deciding when an individual’s primary need is for healthcare (which it is appropriate for the NHS to provide under the 2006 Act) rather than social care (which the Local Authority may provide under the Care Act 2014). </w:t>
            </w:r>
          </w:p>
        </w:tc>
      </w:tr>
      <w:tr w:rsidR="008C0562" w14:paraId="6104D1AE" w14:textId="77777777" w:rsidTr="000C04BC">
        <w:tc>
          <w:tcPr>
            <w:tcW w:w="1827" w:type="dxa"/>
          </w:tcPr>
          <w:p w14:paraId="705498A7" w14:textId="77777777" w:rsidR="008C0562" w:rsidRPr="00ED1931" w:rsidRDefault="008C0562" w:rsidP="00AE3E3F">
            <w:pPr>
              <w:ind w:left="0"/>
              <w:rPr>
                <w:rFonts w:ascii="Arial" w:hAnsi="Arial" w:cs="Arial"/>
              </w:rPr>
            </w:pPr>
            <w:r>
              <w:rPr>
                <w:rFonts w:ascii="Arial" w:hAnsi="Arial" w:cs="Arial"/>
              </w:rPr>
              <w:t>Quality Innovation Productivity and Prevention</w:t>
            </w:r>
          </w:p>
        </w:tc>
        <w:tc>
          <w:tcPr>
            <w:tcW w:w="1804" w:type="dxa"/>
          </w:tcPr>
          <w:p w14:paraId="7871428A" w14:textId="77777777" w:rsidR="008C0562" w:rsidRPr="00ED1931" w:rsidRDefault="008C0562" w:rsidP="00AE3E3F">
            <w:pPr>
              <w:ind w:left="0"/>
              <w:rPr>
                <w:rFonts w:ascii="Arial" w:hAnsi="Arial" w:cs="Arial"/>
              </w:rPr>
            </w:pPr>
            <w:r>
              <w:rPr>
                <w:rFonts w:ascii="Arial" w:hAnsi="Arial" w:cs="Arial"/>
              </w:rPr>
              <w:t>QIPP</w:t>
            </w:r>
          </w:p>
        </w:tc>
        <w:tc>
          <w:tcPr>
            <w:tcW w:w="5390" w:type="dxa"/>
          </w:tcPr>
          <w:p w14:paraId="2C129C59" w14:textId="71E1B84A" w:rsidR="008C0562" w:rsidRPr="00ED1931" w:rsidRDefault="005F78C9" w:rsidP="00AE3E3F">
            <w:pPr>
              <w:ind w:left="0"/>
              <w:rPr>
                <w:rFonts w:ascii="Arial" w:hAnsi="Arial" w:cs="Arial"/>
              </w:rPr>
            </w:pPr>
            <w:r>
              <w:rPr>
                <w:rFonts w:ascii="Arial" w:hAnsi="Arial" w:cs="Arial"/>
              </w:rPr>
              <w:t xml:space="preserve">A scheme aimed at improving quality, </w:t>
            </w:r>
            <w:r w:rsidR="00165D67">
              <w:rPr>
                <w:rFonts w:ascii="Arial" w:hAnsi="Arial" w:cs="Arial"/>
              </w:rPr>
              <w:t xml:space="preserve">encouraging innovation, delivering preventative activities to reduce demand on health services and to improve use of resources. </w:t>
            </w:r>
            <w:r>
              <w:rPr>
                <w:rFonts w:ascii="Arial" w:hAnsi="Arial" w:cs="Arial"/>
              </w:rPr>
              <w:t xml:space="preserve"> </w:t>
            </w:r>
          </w:p>
        </w:tc>
      </w:tr>
      <w:tr w:rsidR="008C0562" w14:paraId="5B0588B9" w14:textId="77777777" w:rsidTr="000C04BC">
        <w:tc>
          <w:tcPr>
            <w:tcW w:w="1827" w:type="dxa"/>
          </w:tcPr>
          <w:p w14:paraId="79E7B1F9" w14:textId="0EBAB712" w:rsidR="008C0562" w:rsidRDefault="008C0562" w:rsidP="00AE3E3F">
            <w:pPr>
              <w:ind w:left="0"/>
              <w:rPr>
                <w:rFonts w:ascii="Arial" w:hAnsi="Arial" w:cs="Arial"/>
              </w:rPr>
            </w:pPr>
            <w:r>
              <w:rPr>
                <w:rFonts w:ascii="Arial" w:hAnsi="Arial" w:cs="Arial"/>
              </w:rPr>
              <w:t xml:space="preserve">Resource Allocation Panel </w:t>
            </w:r>
          </w:p>
        </w:tc>
        <w:tc>
          <w:tcPr>
            <w:tcW w:w="1804" w:type="dxa"/>
          </w:tcPr>
          <w:p w14:paraId="48A39318" w14:textId="450B1F05" w:rsidR="008C0562" w:rsidRDefault="008C0562" w:rsidP="00AE3E3F">
            <w:pPr>
              <w:ind w:left="0"/>
              <w:rPr>
                <w:rFonts w:ascii="Arial" w:hAnsi="Arial" w:cs="Arial"/>
              </w:rPr>
            </w:pPr>
            <w:r>
              <w:rPr>
                <w:rFonts w:ascii="Arial" w:hAnsi="Arial" w:cs="Arial"/>
              </w:rPr>
              <w:t>RAP</w:t>
            </w:r>
          </w:p>
        </w:tc>
        <w:tc>
          <w:tcPr>
            <w:tcW w:w="5390" w:type="dxa"/>
          </w:tcPr>
          <w:p w14:paraId="464EE073" w14:textId="7AD3B854" w:rsidR="008C0562" w:rsidRPr="00ED1931" w:rsidRDefault="00165D67" w:rsidP="00AE3E3F">
            <w:pPr>
              <w:ind w:left="0"/>
              <w:rPr>
                <w:rFonts w:ascii="Arial" w:hAnsi="Arial" w:cs="Arial"/>
              </w:rPr>
            </w:pPr>
            <w:r>
              <w:rPr>
                <w:rFonts w:ascii="Arial" w:hAnsi="Arial" w:cs="Arial"/>
              </w:rPr>
              <w:t xml:space="preserve">A multi-agency panel led by local authorities, comprising health, social care and education representation to make decisions on allocation of funding.  </w:t>
            </w:r>
          </w:p>
        </w:tc>
      </w:tr>
      <w:tr w:rsidR="008C0562" w14:paraId="656BFAF5" w14:textId="77777777" w:rsidTr="000C04BC">
        <w:tc>
          <w:tcPr>
            <w:tcW w:w="1827" w:type="dxa"/>
          </w:tcPr>
          <w:p w14:paraId="10ECE7C4" w14:textId="77777777" w:rsidR="008C0562" w:rsidRDefault="008C0562" w:rsidP="00AE3E3F">
            <w:pPr>
              <w:ind w:left="0"/>
              <w:rPr>
                <w:rFonts w:ascii="Arial" w:hAnsi="Arial" w:cs="Arial"/>
              </w:rPr>
            </w:pPr>
            <w:r>
              <w:rPr>
                <w:rFonts w:ascii="Arial" w:hAnsi="Arial" w:cs="Arial"/>
              </w:rPr>
              <w:t>Shared Business Services</w:t>
            </w:r>
          </w:p>
        </w:tc>
        <w:tc>
          <w:tcPr>
            <w:tcW w:w="1804" w:type="dxa"/>
          </w:tcPr>
          <w:p w14:paraId="6B83FEBA" w14:textId="77777777" w:rsidR="008C0562" w:rsidRDefault="008C0562" w:rsidP="00AE3E3F">
            <w:pPr>
              <w:ind w:left="0"/>
              <w:rPr>
                <w:rFonts w:ascii="Arial" w:hAnsi="Arial" w:cs="Arial"/>
              </w:rPr>
            </w:pPr>
            <w:r>
              <w:rPr>
                <w:rFonts w:ascii="Arial" w:hAnsi="Arial" w:cs="Arial"/>
              </w:rPr>
              <w:t>SBS</w:t>
            </w:r>
          </w:p>
        </w:tc>
        <w:tc>
          <w:tcPr>
            <w:tcW w:w="5390" w:type="dxa"/>
          </w:tcPr>
          <w:p w14:paraId="41D00C13" w14:textId="61C62A3A" w:rsidR="008C0562" w:rsidRPr="00ED1931" w:rsidRDefault="00165D67" w:rsidP="00AE3E3F">
            <w:pPr>
              <w:ind w:left="0"/>
              <w:rPr>
                <w:rFonts w:ascii="Arial" w:hAnsi="Arial" w:cs="Arial"/>
              </w:rPr>
            </w:pPr>
            <w:r>
              <w:rPr>
                <w:rFonts w:ascii="Arial" w:hAnsi="Arial" w:cs="Arial"/>
              </w:rPr>
              <w:t xml:space="preserve">A provider of corporate services to the NHS, including invoice management.  </w:t>
            </w:r>
          </w:p>
        </w:tc>
      </w:tr>
      <w:tr w:rsidR="008C0562" w14:paraId="1ED1D399" w14:textId="77777777" w:rsidTr="000C04BC">
        <w:tc>
          <w:tcPr>
            <w:tcW w:w="1827" w:type="dxa"/>
          </w:tcPr>
          <w:p w14:paraId="5BB63A18" w14:textId="77777777" w:rsidR="008C0562" w:rsidRPr="00ED1931" w:rsidRDefault="008C0562" w:rsidP="00AE3E3F">
            <w:pPr>
              <w:ind w:left="0"/>
              <w:rPr>
                <w:rFonts w:ascii="Arial" w:hAnsi="Arial" w:cs="Arial"/>
              </w:rPr>
            </w:pPr>
            <w:r>
              <w:rPr>
                <w:rFonts w:ascii="Arial" w:hAnsi="Arial" w:cs="Arial"/>
              </w:rPr>
              <w:t>SPINE</w:t>
            </w:r>
          </w:p>
        </w:tc>
        <w:tc>
          <w:tcPr>
            <w:tcW w:w="1804" w:type="dxa"/>
          </w:tcPr>
          <w:p w14:paraId="78DF9411" w14:textId="736EFA32" w:rsidR="008C0562" w:rsidRPr="00ED1931" w:rsidRDefault="008C0562" w:rsidP="00AE3E3F">
            <w:pPr>
              <w:ind w:left="0"/>
              <w:rPr>
                <w:rFonts w:ascii="Arial" w:hAnsi="Arial" w:cs="Arial"/>
              </w:rPr>
            </w:pPr>
          </w:p>
        </w:tc>
        <w:tc>
          <w:tcPr>
            <w:tcW w:w="5390" w:type="dxa"/>
          </w:tcPr>
          <w:p w14:paraId="344038DA" w14:textId="11F9F1F5" w:rsidR="008C0562" w:rsidRPr="00ED1931" w:rsidRDefault="00165D67" w:rsidP="00AE3E3F">
            <w:pPr>
              <w:ind w:left="0"/>
              <w:rPr>
                <w:rFonts w:ascii="Arial" w:hAnsi="Arial" w:cs="Arial"/>
              </w:rPr>
            </w:pPr>
            <w:r w:rsidRPr="00165D67">
              <w:rPr>
                <w:rFonts w:ascii="Arial" w:hAnsi="Arial" w:cs="Arial"/>
              </w:rPr>
              <w:t>The system supporting the IT infrastructure for health and social care in England, allowing information to be shared securely between over 20,000 organisations.</w:t>
            </w:r>
            <w:r>
              <w:rPr>
                <w:rFonts w:ascii="Arial" w:hAnsi="Arial" w:cs="Arial"/>
                <w:color w:val="3F525F"/>
                <w:sz w:val="27"/>
                <w:szCs w:val="27"/>
                <w:shd w:val="clear" w:color="auto" w:fill="E8EDEE"/>
              </w:rPr>
              <w:t xml:space="preserve">  </w:t>
            </w:r>
          </w:p>
        </w:tc>
      </w:tr>
    </w:tbl>
    <w:p w14:paraId="0E72F2F5" w14:textId="2D4B7CB9" w:rsidR="00F913CD" w:rsidRPr="0015255F" w:rsidRDefault="00F913CD" w:rsidP="00225AB9">
      <w:pPr>
        <w:pStyle w:val="Heading2"/>
      </w:pPr>
      <w:bookmarkStart w:id="18" w:name="_Toc110851917"/>
      <w:r w:rsidRPr="0015255F">
        <w:t>Roles and Responsibilities</w:t>
      </w:r>
      <w:bookmarkStart w:id="19" w:name="_Toc84611047"/>
      <w:bookmarkEnd w:id="16"/>
      <w:bookmarkEnd w:id="17"/>
      <w:bookmarkEnd w:id="18"/>
    </w:p>
    <w:p w14:paraId="01A41CC2" w14:textId="45D25947" w:rsidR="00F913CD" w:rsidRPr="0015255F" w:rsidRDefault="00F913CD" w:rsidP="00225AB9">
      <w:pPr>
        <w:pStyle w:val="Heading3"/>
      </w:pPr>
      <w:bookmarkStart w:id="20" w:name="_Toc84611048"/>
      <w:bookmarkStart w:id="21" w:name="_Toc94088219"/>
      <w:bookmarkStart w:id="22" w:name="_Toc110851918"/>
      <w:bookmarkEnd w:id="19"/>
      <w:r w:rsidRPr="0015255F">
        <w:t>Integrated Care Board</w:t>
      </w:r>
      <w:bookmarkEnd w:id="20"/>
      <w:bookmarkEnd w:id="21"/>
      <w:r w:rsidR="00F87060">
        <w:t xml:space="preserve"> (ICB)</w:t>
      </w:r>
      <w:bookmarkEnd w:id="22"/>
    </w:p>
    <w:p w14:paraId="4C3C3990" w14:textId="5DDB1F6C" w:rsidR="00E91A92" w:rsidRPr="0015255F" w:rsidRDefault="00E91A92" w:rsidP="00E91A92">
      <w:pPr>
        <w:pStyle w:val="Style2"/>
        <w:jc w:val="both"/>
      </w:pPr>
      <w:bookmarkStart w:id="23" w:name="_Toc94088220"/>
      <w:r>
        <w:t xml:space="preserve">The ICB </w:t>
      </w:r>
      <w:r w:rsidR="00F87060">
        <w:t xml:space="preserve">Board </w:t>
      </w:r>
      <w:r>
        <w:t xml:space="preserve">has statutory responsibility for delivery of CHC and CYPCC. The </w:t>
      </w:r>
      <w:r w:rsidR="00F87060">
        <w:t xml:space="preserve">ICB </w:t>
      </w:r>
      <w:r>
        <w:t xml:space="preserve">Board </w:t>
      </w:r>
      <w:r w:rsidR="003845FA">
        <w:t xml:space="preserve">will ratify and adopt this AACC Operational Policy and </w:t>
      </w:r>
      <w:r>
        <w:t xml:space="preserve">appoint a named Executive Lead for CHC and CYPCC, to be accountable for AACC strategy and service delivery. </w:t>
      </w:r>
    </w:p>
    <w:p w14:paraId="45011E4B" w14:textId="0A84D99D" w:rsidR="00E91A92" w:rsidRPr="0015255F" w:rsidRDefault="00B9694F" w:rsidP="00E91A92">
      <w:pPr>
        <w:pStyle w:val="Heading3"/>
      </w:pPr>
      <w:bookmarkStart w:id="24" w:name="_Toc89951388"/>
      <w:bookmarkStart w:id="25" w:name="_Toc110851919"/>
      <w:r>
        <w:t xml:space="preserve">Quality </w:t>
      </w:r>
      <w:r w:rsidR="00E91A92">
        <w:t>Committee</w:t>
      </w:r>
      <w:bookmarkEnd w:id="24"/>
      <w:bookmarkEnd w:id="25"/>
    </w:p>
    <w:p w14:paraId="56F40B9F" w14:textId="45BBADBB" w:rsidR="00E91A92" w:rsidRPr="0015255F" w:rsidRDefault="00E91A92" w:rsidP="00E91A92">
      <w:pPr>
        <w:pStyle w:val="Style2"/>
        <w:jc w:val="both"/>
      </w:pPr>
      <w:r>
        <w:t xml:space="preserve">The </w:t>
      </w:r>
      <w:r w:rsidR="00FE3416">
        <w:t xml:space="preserve">Quality </w:t>
      </w:r>
      <w:r w:rsidRPr="0015255F">
        <w:t xml:space="preserve">Committee </w:t>
      </w:r>
      <w:r>
        <w:t xml:space="preserve">is </w:t>
      </w:r>
      <w:r w:rsidRPr="0015255F">
        <w:t>responsible</w:t>
      </w:r>
      <w:r>
        <w:t xml:space="preserve"> for receiving reports, assurance and escalations relating to AACC service quality and delivery, escalating appropriate issues to the Board. </w:t>
      </w:r>
    </w:p>
    <w:p w14:paraId="6B6EAD93" w14:textId="2A02995B" w:rsidR="00E91A92" w:rsidRPr="0015255F" w:rsidRDefault="00F87060" w:rsidP="00E91A92">
      <w:pPr>
        <w:pStyle w:val="Heading3"/>
      </w:pPr>
      <w:bookmarkStart w:id="26" w:name="_Toc89951389"/>
      <w:bookmarkStart w:id="27" w:name="_Toc110851920"/>
      <w:r>
        <w:t>System Oversight and Assurance Committee</w:t>
      </w:r>
      <w:r w:rsidR="00E91A92">
        <w:t xml:space="preserve"> </w:t>
      </w:r>
      <w:bookmarkEnd w:id="26"/>
      <w:r w:rsidR="00393B60">
        <w:t>(SOAC)</w:t>
      </w:r>
      <w:bookmarkEnd w:id="27"/>
    </w:p>
    <w:p w14:paraId="1005BFF0" w14:textId="4DC991B9" w:rsidR="00E91A92" w:rsidRPr="0015255F" w:rsidRDefault="00E91A92" w:rsidP="00E91A92">
      <w:pPr>
        <w:pStyle w:val="Style2"/>
        <w:jc w:val="both"/>
      </w:pPr>
      <w:r>
        <w:t xml:space="preserve">The </w:t>
      </w:r>
      <w:r w:rsidR="00F87060">
        <w:t>System Oversight and Assurance Committee</w:t>
      </w:r>
      <w:r w:rsidR="00FE3416">
        <w:t xml:space="preserve"> </w:t>
      </w:r>
      <w:r w:rsidR="00DA606F">
        <w:t>are</w:t>
      </w:r>
      <w:r>
        <w:t xml:space="preserve"> responsible for receiving </w:t>
      </w:r>
      <w:r w:rsidR="00B9694F">
        <w:t xml:space="preserve">exception </w:t>
      </w:r>
      <w:r>
        <w:t xml:space="preserve">reports relating to AACC service performance against national and local targets and financial management including </w:t>
      </w:r>
      <w:r w:rsidR="00AD651B">
        <w:t>Quality, Innovation, Productivity and Prevention (</w:t>
      </w:r>
      <w:r>
        <w:t>QIPP</w:t>
      </w:r>
      <w:r w:rsidR="00AD651B">
        <w:t>)</w:t>
      </w:r>
      <w:r>
        <w:t xml:space="preserve"> savings plans and financial benefits realisation. </w:t>
      </w:r>
    </w:p>
    <w:p w14:paraId="47A12471" w14:textId="5F275B81" w:rsidR="00E91A92" w:rsidRPr="0015255F" w:rsidRDefault="00771B17" w:rsidP="00E91A92">
      <w:pPr>
        <w:pStyle w:val="Heading3"/>
      </w:pPr>
      <w:bookmarkStart w:id="28" w:name="_Toc89951390"/>
      <w:bookmarkStart w:id="29" w:name="_Toc110851921"/>
      <w:r>
        <w:t>Chief Executive</w:t>
      </w:r>
      <w:bookmarkEnd w:id="28"/>
      <w:bookmarkEnd w:id="29"/>
    </w:p>
    <w:p w14:paraId="0BFFDD1E" w14:textId="27AB5ED2" w:rsidR="00E91A92" w:rsidRPr="0015255F" w:rsidRDefault="00E91A92" w:rsidP="00E91A92">
      <w:pPr>
        <w:pStyle w:val="Style2"/>
        <w:jc w:val="both"/>
      </w:pPr>
      <w:r>
        <w:t xml:space="preserve">The </w:t>
      </w:r>
      <w:r w:rsidR="00771B17">
        <w:t>Chief Executive</w:t>
      </w:r>
      <w:r w:rsidR="00F27A97">
        <w:t xml:space="preserve"> </w:t>
      </w:r>
      <w:r w:rsidRPr="0015255F">
        <w:t xml:space="preserve">is </w:t>
      </w:r>
      <w:r>
        <w:t xml:space="preserve">ultimately </w:t>
      </w:r>
      <w:r w:rsidRPr="0015255F">
        <w:t>accountable for</w:t>
      </w:r>
      <w:r>
        <w:t xml:space="preserve"> the delivery of the AACC service statutory responsibilities. </w:t>
      </w:r>
    </w:p>
    <w:p w14:paraId="2DA69D77" w14:textId="5D3709EC" w:rsidR="009E4D57" w:rsidRDefault="00F27A97" w:rsidP="00E91A92">
      <w:pPr>
        <w:pStyle w:val="Heading3"/>
      </w:pPr>
      <w:bookmarkStart w:id="30" w:name="_Toc89951391"/>
      <w:bookmarkStart w:id="31" w:name="_Toc110851922"/>
      <w:r>
        <w:t>Chief Nurse</w:t>
      </w:r>
      <w:bookmarkEnd w:id="31"/>
    </w:p>
    <w:p w14:paraId="3383DD23" w14:textId="7D3A0F82" w:rsidR="009E4D57" w:rsidRPr="00480B93" w:rsidRDefault="009E4D57" w:rsidP="00480B93">
      <w:pPr>
        <w:pStyle w:val="Style2"/>
        <w:jc w:val="both"/>
      </w:pPr>
      <w:r w:rsidRPr="00480B93">
        <w:t xml:space="preserve">The </w:t>
      </w:r>
      <w:r w:rsidR="00F27A97" w:rsidRPr="00480B93">
        <w:t>Chief Nurse</w:t>
      </w:r>
      <w:r w:rsidRPr="00480B93">
        <w:t xml:space="preserve"> is responsible for the delivery of AACC services. </w:t>
      </w:r>
    </w:p>
    <w:p w14:paraId="71D2881C" w14:textId="3DADE1DA" w:rsidR="00E91A92" w:rsidRPr="009E4D57" w:rsidRDefault="00E91A92" w:rsidP="009E4D57">
      <w:pPr>
        <w:pStyle w:val="Heading3"/>
      </w:pPr>
      <w:bookmarkStart w:id="32" w:name="_Toc110851923"/>
      <w:r w:rsidRPr="009E4D57">
        <w:t>Policy Authors</w:t>
      </w:r>
      <w:bookmarkEnd w:id="30"/>
      <w:bookmarkEnd w:id="32"/>
    </w:p>
    <w:p w14:paraId="34BC8D90" w14:textId="44AA33B3" w:rsidR="00E91A92" w:rsidRPr="0015255F" w:rsidRDefault="00E91A92" w:rsidP="00480B93">
      <w:pPr>
        <w:pStyle w:val="Style2"/>
        <w:jc w:val="both"/>
      </w:pPr>
      <w:r>
        <w:t xml:space="preserve">The </w:t>
      </w:r>
      <w:r w:rsidR="00F27A97">
        <w:t xml:space="preserve">Head of AACC is </w:t>
      </w:r>
      <w:r>
        <w:t>responsible for ensuring that review of this policy occurs at least two-yearly, and for ongoing review of this policy in light of any national or local developments, Acts of Parliament or other mandates which may materially impact on the operation of the AACC service and to make recommendation to the Quality Committee</w:t>
      </w:r>
      <w:r w:rsidR="007D5D3C">
        <w:t xml:space="preserve"> </w:t>
      </w:r>
      <w:r>
        <w:t xml:space="preserve">on any required amendments to this policy.  </w:t>
      </w:r>
    </w:p>
    <w:p w14:paraId="408F9CA9" w14:textId="77777777" w:rsidR="00E91A92" w:rsidRPr="0015255F" w:rsidRDefault="00E91A92" w:rsidP="00E91A92">
      <w:pPr>
        <w:pStyle w:val="Heading3"/>
      </w:pPr>
      <w:bookmarkStart w:id="33" w:name="_Toc89951392"/>
      <w:bookmarkStart w:id="34" w:name="_Toc110851924"/>
      <w:r w:rsidRPr="0015255F">
        <w:t>Arden and GEM Commissioning Support Unit (AGEMCSU)</w:t>
      </w:r>
      <w:bookmarkEnd w:id="33"/>
      <w:bookmarkEnd w:id="34"/>
    </w:p>
    <w:p w14:paraId="6079E6F2" w14:textId="77777777" w:rsidR="00E91A92" w:rsidRPr="0015255F" w:rsidRDefault="00E91A92" w:rsidP="00E91A92">
      <w:pPr>
        <w:pStyle w:val="Style2"/>
        <w:jc w:val="both"/>
      </w:pPr>
      <w:r w:rsidRPr="0015255F">
        <w:t xml:space="preserve">AGEMCSU </w:t>
      </w:r>
      <w:r>
        <w:t xml:space="preserve">is responsible for providing appropriate support to the AACC service with regard to Information Technology and Information Governance requirements to enable the service to function effectively and within all legal requirements. </w:t>
      </w:r>
    </w:p>
    <w:p w14:paraId="3F9DACCD" w14:textId="77777777" w:rsidR="00E91A92" w:rsidRPr="0015255F" w:rsidRDefault="00E91A92" w:rsidP="00E91A92">
      <w:pPr>
        <w:pStyle w:val="Heading3"/>
      </w:pPr>
      <w:bookmarkStart w:id="35" w:name="_Toc89951393"/>
      <w:bookmarkStart w:id="36" w:name="_Toc110851925"/>
      <w:r w:rsidRPr="0015255F">
        <w:t>Governance Lead</w:t>
      </w:r>
      <w:bookmarkEnd w:id="35"/>
      <w:bookmarkEnd w:id="36"/>
    </w:p>
    <w:p w14:paraId="1EFB1AFA" w14:textId="158C9D20" w:rsidR="00E91A92" w:rsidRPr="009E4D57" w:rsidRDefault="00E91A92" w:rsidP="009E4D57">
      <w:pPr>
        <w:pStyle w:val="Style2"/>
        <w:jc w:val="both"/>
        <w:rPr>
          <w:color w:val="auto"/>
        </w:rPr>
      </w:pPr>
      <w:r w:rsidRPr="009E4D57">
        <w:rPr>
          <w:color w:val="auto"/>
        </w:rPr>
        <w:t>The Governance Lead is responsible for</w:t>
      </w:r>
      <w:r w:rsidR="009E4D57" w:rsidRPr="009E4D57">
        <w:rPr>
          <w:color w:val="auto"/>
        </w:rPr>
        <w:t xml:space="preserve"> ensuring that all appropriate governance requirements are met in the development, approval and implementation of this Policy. </w:t>
      </w:r>
    </w:p>
    <w:p w14:paraId="2246AEE1" w14:textId="77777777" w:rsidR="00E91A92" w:rsidRPr="0015255F" w:rsidRDefault="00E91A92" w:rsidP="00E91A92">
      <w:pPr>
        <w:pStyle w:val="Heading3"/>
      </w:pPr>
      <w:bookmarkStart w:id="37" w:name="_Toc89951394"/>
      <w:bookmarkStart w:id="38" w:name="_Toc110851926"/>
      <w:r w:rsidRPr="0015255F">
        <w:t>Line Managers</w:t>
      </w:r>
      <w:bookmarkEnd w:id="37"/>
      <w:bookmarkEnd w:id="38"/>
      <w:r w:rsidRPr="0015255F">
        <w:t xml:space="preserve"> </w:t>
      </w:r>
    </w:p>
    <w:p w14:paraId="0CAFC136" w14:textId="6512E08F" w:rsidR="00E91A92" w:rsidRPr="009E5B43" w:rsidRDefault="00E91A92" w:rsidP="00B9694F">
      <w:pPr>
        <w:pStyle w:val="Style2"/>
        <w:jc w:val="both"/>
        <w:rPr>
          <w:color w:val="auto"/>
        </w:rPr>
      </w:pPr>
      <w:r w:rsidRPr="009E5B43">
        <w:rPr>
          <w:color w:val="auto"/>
        </w:rPr>
        <w:t xml:space="preserve">Line Managers within the AACC service are </w:t>
      </w:r>
      <w:r w:rsidR="009E4D57" w:rsidRPr="009E5B43">
        <w:rPr>
          <w:color w:val="auto"/>
        </w:rPr>
        <w:t xml:space="preserve">responsible for </w:t>
      </w:r>
      <w:r w:rsidRPr="009E5B43">
        <w:rPr>
          <w:color w:val="auto"/>
        </w:rPr>
        <w:t>accountable for</w:t>
      </w:r>
      <w:r w:rsidR="009E5B43" w:rsidRPr="009E5B43">
        <w:rPr>
          <w:color w:val="auto"/>
        </w:rPr>
        <w:t xml:space="preserve"> ensuring that the service is appropriately resourced, trained and supported to implement this policy. </w:t>
      </w:r>
    </w:p>
    <w:p w14:paraId="4D93F56E" w14:textId="77777777" w:rsidR="00E91A92" w:rsidRPr="0015255F" w:rsidRDefault="00E91A92" w:rsidP="00E91A92">
      <w:pPr>
        <w:pStyle w:val="Heading3"/>
      </w:pPr>
      <w:bookmarkStart w:id="39" w:name="_Toc89951395"/>
      <w:bookmarkStart w:id="40" w:name="_Toc110851927"/>
      <w:r w:rsidRPr="0015255F">
        <w:t>All Staff</w:t>
      </w:r>
      <w:bookmarkEnd w:id="39"/>
      <w:bookmarkEnd w:id="40"/>
    </w:p>
    <w:p w14:paraId="403B5B5F" w14:textId="712AB605" w:rsidR="00E91A92" w:rsidRDefault="00E91A92" w:rsidP="00B9694F">
      <w:pPr>
        <w:pStyle w:val="Style2"/>
        <w:jc w:val="both"/>
      </w:pPr>
      <w:r>
        <w:t xml:space="preserve">All staff are responsible for following the processes laid out in this policy when working </w:t>
      </w:r>
      <w:r w:rsidR="00AC0B7D">
        <w:t xml:space="preserve">with and </w:t>
      </w:r>
      <w:r>
        <w:t xml:space="preserve">within the AACC services.  </w:t>
      </w:r>
    </w:p>
    <w:p w14:paraId="505CDB3D" w14:textId="431C4D53" w:rsidR="00871263" w:rsidRDefault="00F913CD" w:rsidP="00FC489F">
      <w:pPr>
        <w:pStyle w:val="Heading2"/>
      </w:pPr>
      <w:bookmarkStart w:id="41" w:name="_Toc84611056"/>
      <w:bookmarkStart w:id="42" w:name="_Toc89326548"/>
      <w:bookmarkStart w:id="43" w:name="_Toc94088228"/>
      <w:bookmarkStart w:id="44" w:name="_Toc110851928"/>
      <w:bookmarkEnd w:id="23"/>
      <w:r w:rsidRPr="0015255F">
        <w:t>Policy Detail</w:t>
      </w:r>
      <w:bookmarkEnd w:id="41"/>
      <w:bookmarkEnd w:id="42"/>
      <w:bookmarkEnd w:id="43"/>
      <w:bookmarkEnd w:id="44"/>
      <w:r w:rsidR="00871263">
        <w:t xml:space="preserve"> </w:t>
      </w:r>
    </w:p>
    <w:p w14:paraId="2554D635" w14:textId="4E26229A" w:rsidR="008F04F0" w:rsidRPr="008F04F0" w:rsidRDefault="008F04F0" w:rsidP="00871263">
      <w:pPr>
        <w:pStyle w:val="Heading2"/>
        <w:numPr>
          <w:ilvl w:val="0"/>
          <w:numId w:val="0"/>
        </w:numPr>
        <w:ind w:left="1134"/>
      </w:pPr>
      <w:bookmarkStart w:id="45" w:name="_Toc110851929"/>
      <w:r>
        <w:t>Enabl</w:t>
      </w:r>
      <w:r w:rsidR="00602823">
        <w:t>ers</w:t>
      </w:r>
      <w:r>
        <w:t xml:space="preserve"> </w:t>
      </w:r>
      <w:r w:rsidR="00871263">
        <w:t>(6.1-6.</w:t>
      </w:r>
      <w:r w:rsidR="00F867A0">
        <w:t>9</w:t>
      </w:r>
      <w:r w:rsidR="00871263">
        <w:t>)</w:t>
      </w:r>
      <w:bookmarkEnd w:id="45"/>
      <w:r w:rsidR="00871263">
        <w:t xml:space="preserve"> </w:t>
      </w:r>
    </w:p>
    <w:p w14:paraId="5A20E99B" w14:textId="63E168CA" w:rsidR="00F913CD" w:rsidRPr="0015255F" w:rsidRDefault="00F913CD" w:rsidP="00C4088C">
      <w:pPr>
        <w:pStyle w:val="Heading3"/>
      </w:pPr>
      <w:bookmarkStart w:id="46" w:name="_Toc94088229"/>
      <w:bookmarkStart w:id="47" w:name="_Toc110851930"/>
      <w:r w:rsidRPr="0015255F">
        <w:t>S</w:t>
      </w:r>
      <w:r w:rsidR="001F71F6">
        <w:t>trategy and Leadership</w:t>
      </w:r>
      <w:bookmarkEnd w:id="46"/>
      <w:bookmarkEnd w:id="47"/>
    </w:p>
    <w:p w14:paraId="1E6CF45B" w14:textId="41271253" w:rsidR="001F71F6" w:rsidRDefault="001F71F6" w:rsidP="00480B93">
      <w:pPr>
        <w:pStyle w:val="Style2"/>
        <w:ind w:left="1138" w:hanging="1138"/>
        <w:contextualSpacing w:val="0"/>
        <w:jc w:val="both"/>
      </w:pPr>
      <w:r>
        <w:t xml:space="preserve">The ICB will appoint a dedicated accountable lead for AACC, sponsored by the Accountable Officer and </w:t>
      </w:r>
      <w:r w:rsidR="00AD651B">
        <w:t>Chief Fi</w:t>
      </w:r>
      <w:r>
        <w:t xml:space="preserve">nance </w:t>
      </w:r>
      <w:r w:rsidR="00AD651B">
        <w:t>Officer</w:t>
      </w:r>
      <w:r>
        <w:t xml:space="preserve"> to steer the direction of operations and provide leadership. </w:t>
      </w:r>
    </w:p>
    <w:p w14:paraId="54E71A27" w14:textId="12F6DFFC" w:rsidR="001F71F6" w:rsidRDefault="001F71F6" w:rsidP="00480B93">
      <w:pPr>
        <w:pStyle w:val="Style2"/>
        <w:ind w:left="1138" w:hanging="1138"/>
        <w:contextualSpacing w:val="0"/>
        <w:jc w:val="both"/>
      </w:pPr>
      <w:r>
        <w:t xml:space="preserve">The ICB will develop and implement an over-arching AACC strategy, to drive clear accountability and evidence of high performance across the end-to-end service, including </w:t>
      </w:r>
      <w:r w:rsidR="00227E04">
        <w:t xml:space="preserve">LA </w:t>
      </w:r>
      <w:r w:rsidR="00602823">
        <w:t xml:space="preserve">and Provider </w:t>
      </w:r>
      <w:r>
        <w:t xml:space="preserve">partners. </w:t>
      </w:r>
    </w:p>
    <w:p w14:paraId="40E334DE" w14:textId="23FB7441" w:rsidR="001F71F6" w:rsidRDefault="001F71F6" w:rsidP="00480B93">
      <w:pPr>
        <w:pStyle w:val="Style2"/>
        <w:ind w:left="1138" w:hanging="1138"/>
        <w:contextualSpacing w:val="0"/>
        <w:jc w:val="both"/>
      </w:pPr>
      <w:r>
        <w:t xml:space="preserve">The AACC service will have significant integration and frequent interaction with external stakeholders and other commissioned services, within and outside of the Integrated Care System (ICS) and LAs, with active partnerships to bridge the gap between social and health care.  </w:t>
      </w:r>
    </w:p>
    <w:p w14:paraId="676FF54C" w14:textId="00A7B3D0" w:rsidR="001F71F6" w:rsidRDefault="001F71F6" w:rsidP="00480B93">
      <w:pPr>
        <w:pStyle w:val="Style2"/>
        <w:ind w:left="1138" w:hanging="1138"/>
        <w:contextualSpacing w:val="0"/>
        <w:jc w:val="both"/>
      </w:pPr>
      <w:r>
        <w:t xml:space="preserve">The AACC Operational Policy has been developed to meet operational and legal safeguards and take into account precedence from other geographies. It will align with and complement the wider ICB vision. </w:t>
      </w:r>
    </w:p>
    <w:p w14:paraId="4D225DD8" w14:textId="3CA9F001" w:rsidR="001F71F6" w:rsidRDefault="001F71F6" w:rsidP="00480B93">
      <w:pPr>
        <w:pStyle w:val="Style2"/>
        <w:ind w:left="1138" w:hanging="1138"/>
        <w:contextualSpacing w:val="0"/>
        <w:jc w:val="both"/>
      </w:pPr>
      <w:r>
        <w:t>The AACC budget is determined with significant operational and senior leadership input; it is adjusted to account for prior trends in expenditure and forecasts budgetary pressures arising in the upcoming financial year.</w:t>
      </w:r>
      <w:r w:rsidRPr="00515803">
        <w:t xml:space="preserve"> </w:t>
      </w:r>
      <w:r>
        <w:t>Budgetary and savings analysis is tracked throughout the year and is used to inform short and medium</w:t>
      </w:r>
      <w:r w:rsidR="00FC489F">
        <w:t>-</w:t>
      </w:r>
      <w:r>
        <w:t>term decision making. Expenditure analysis is also conducted on the cost of the service as a whole and review is given to expenditure trends by care group and seasonality. The outcome of analysis is used to inform short and long</w:t>
      </w:r>
      <w:r w:rsidR="00FC489F">
        <w:t>-</w:t>
      </w:r>
      <w:r>
        <w:t xml:space="preserve">term decision making and support transformative cases for change. </w:t>
      </w:r>
    </w:p>
    <w:p w14:paraId="3A76FD43" w14:textId="5E692E1B" w:rsidR="001F71F6" w:rsidRDefault="001F71F6" w:rsidP="00480B93">
      <w:pPr>
        <w:pStyle w:val="Style2"/>
        <w:ind w:left="1138" w:hanging="1138"/>
        <w:contextualSpacing w:val="0"/>
        <w:jc w:val="both"/>
      </w:pPr>
      <w:r>
        <w:t>The AACC service will have a comprehensive list of QIPP schemes in place, all of which achieve or exceed the QIPP target expected. All QIPP schemes are closely monitored and opportunities to expand or extend schemes are maximised.</w:t>
      </w:r>
    </w:p>
    <w:p w14:paraId="01DECC5C" w14:textId="041A9BA7" w:rsidR="001F71F6" w:rsidRDefault="001F71F6" w:rsidP="00480B93">
      <w:pPr>
        <w:pStyle w:val="Style2"/>
        <w:ind w:left="1138" w:hanging="1138"/>
        <w:contextualSpacing w:val="0"/>
        <w:jc w:val="both"/>
      </w:pPr>
      <w:r>
        <w:t xml:space="preserve">The ICB will ensure that clear lines of accountability are present in AACC services, well-defined and well documented for all processes and that there is proportionate governance architecture in place to support the delivery of a fair and sustainable, high quality service. </w:t>
      </w:r>
    </w:p>
    <w:p w14:paraId="5B5290CE" w14:textId="0BD200FB" w:rsidR="001F71F6" w:rsidRDefault="001F71F6" w:rsidP="00480B93">
      <w:pPr>
        <w:pStyle w:val="Style2"/>
        <w:ind w:left="1138" w:hanging="1138"/>
        <w:contextualSpacing w:val="0"/>
        <w:jc w:val="both"/>
      </w:pPr>
      <w:r>
        <w:t xml:space="preserve">The ICB </w:t>
      </w:r>
      <w:r w:rsidR="00FC489F">
        <w:t xml:space="preserve">will operate an </w:t>
      </w:r>
      <w:r>
        <w:t xml:space="preserve">organisational climate </w:t>
      </w:r>
      <w:r w:rsidR="00FC489F">
        <w:t xml:space="preserve">that </w:t>
      </w:r>
      <w:r>
        <w:t xml:space="preserve">is positive, resilient and progressive and is not susceptible to operational pressures. The AACC team will be supported in their decision making and understand the wider positioning of the AACC service within the ICB and be clear as to the objectives of their role and that of the AACC service as a whole. </w:t>
      </w:r>
    </w:p>
    <w:p w14:paraId="150D83EE" w14:textId="74F0FB7C" w:rsidR="001F71F6" w:rsidRPr="0015255F" w:rsidRDefault="002148CE" w:rsidP="001F71F6">
      <w:pPr>
        <w:pStyle w:val="Heading3"/>
      </w:pPr>
      <w:bookmarkStart w:id="48" w:name="_Toc110851931"/>
      <w:r>
        <w:t>Individual</w:t>
      </w:r>
      <w:r w:rsidR="001F71F6">
        <w:t>s and Families</w:t>
      </w:r>
      <w:bookmarkEnd w:id="48"/>
    </w:p>
    <w:p w14:paraId="3BA482F3" w14:textId="4369E063" w:rsidR="001F71F6" w:rsidRDefault="001F71F6" w:rsidP="00480B93">
      <w:pPr>
        <w:pStyle w:val="Style2"/>
        <w:ind w:left="1138" w:hanging="1138"/>
        <w:contextualSpacing w:val="0"/>
        <w:jc w:val="both"/>
      </w:pPr>
      <w:r>
        <w:t xml:space="preserve">The AACC service will work proactively to involve the </w:t>
      </w:r>
      <w:r w:rsidR="002148CE">
        <w:t>individual</w:t>
      </w:r>
      <w:r>
        <w:t xml:space="preserve"> and/or their family/representatives in </w:t>
      </w:r>
      <w:r w:rsidR="00380D2A">
        <w:t xml:space="preserve">referral and </w:t>
      </w:r>
      <w:r>
        <w:t xml:space="preserve">assessment processes and to formally acknowledge, record and consider their views, through attendance at meetings (face to face, video/teleconference) or through submission of written statements for consideration during the </w:t>
      </w:r>
      <w:r w:rsidR="008051D6">
        <w:t>Multidisciplinary Team (MDT)</w:t>
      </w:r>
      <w:r>
        <w:t xml:space="preserve"> </w:t>
      </w:r>
      <w:r w:rsidR="00B551A7">
        <w:t xml:space="preserve">/single agency </w:t>
      </w:r>
      <w:r>
        <w:t xml:space="preserve">assessment. </w:t>
      </w:r>
    </w:p>
    <w:p w14:paraId="6466AAB5" w14:textId="4FD1FECB" w:rsidR="001D6DD0" w:rsidRDefault="000931A3" w:rsidP="00480B93">
      <w:pPr>
        <w:pStyle w:val="Style2"/>
        <w:ind w:left="1138" w:hanging="1138"/>
        <w:contextualSpacing w:val="0"/>
        <w:jc w:val="both"/>
      </w:pPr>
      <w:r>
        <w:t xml:space="preserve">To manage expectations and to provide further understanding of the decision-making processes, national and local information leaflets on AACC assessment and decision-making processes and available advocacy services will be provided to the </w:t>
      </w:r>
      <w:r w:rsidR="002148CE">
        <w:t>individual</w:t>
      </w:r>
      <w:r>
        <w:t>/family/representative following receipt of referral to the services, with the initial appointment invitation letter.</w:t>
      </w:r>
      <w:r w:rsidR="001D6DD0">
        <w:t xml:space="preserve"> </w:t>
      </w:r>
    </w:p>
    <w:p w14:paraId="3F62843C" w14:textId="4628A0DD" w:rsidR="000931A3" w:rsidRDefault="001D6DD0" w:rsidP="00480B93">
      <w:pPr>
        <w:pStyle w:val="Style2"/>
        <w:ind w:left="1138" w:hanging="1138"/>
        <w:contextualSpacing w:val="0"/>
        <w:jc w:val="both"/>
      </w:pPr>
      <w:r>
        <w:t xml:space="preserve">This Policy, leaflets and relevant guidance referred to in this policy will be made publicly accessible via the AACC service’s </w:t>
      </w:r>
      <w:r w:rsidR="00642116">
        <w:t>webpages</w:t>
      </w:r>
      <w:r>
        <w:t xml:space="preserve">.  </w:t>
      </w:r>
    </w:p>
    <w:p w14:paraId="314080BD" w14:textId="1FB02670" w:rsidR="001F71F6" w:rsidRDefault="001F71F6" w:rsidP="00480B93">
      <w:pPr>
        <w:pStyle w:val="Style2"/>
        <w:ind w:left="1138" w:hanging="1138"/>
        <w:contextualSpacing w:val="0"/>
        <w:jc w:val="both"/>
      </w:pPr>
      <w:r>
        <w:t xml:space="preserve">The AACC service will utilise templated letters communicating the outcome of </w:t>
      </w:r>
      <w:r w:rsidR="00380D2A">
        <w:t xml:space="preserve">referrals and </w:t>
      </w:r>
      <w:r>
        <w:t xml:space="preserve">decisions relating to </w:t>
      </w:r>
      <w:r w:rsidR="00380D2A">
        <w:t xml:space="preserve">assessment / </w:t>
      </w:r>
      <w:r>
        <w:t xml:space="preserve">eligibility for funding, sent to the </w:t>
      </w:r>
      <w:r w:rsidR="002148CE">
        <w:t>individual</w:t>
      </w:r>
      <w:r>
        <w:t xml:space="preserve"> and/or their representative (where applicable) with relevant supporting documentation enclosed within 48 hours of </w:t>
      </w:r>
      <w:r w:rsidR="00380D2A">
        <w:t xml:space="preserve">receipt of referral and </w:t>
      </w:r>
      <w:r>
        <w:t xml:space="preserve">decision. </w:t>
      </w:r>
    </w:p>
    <w:p w14:paraId="1E2E91B3" w14:textId="43BF5C98" w:rsidR="001F71F6" w:rsidRDefault="00FC489F" w:rsidP="00480B93">
      <w:pPr>
        <w:pStyle w:val="Style2"/>
        <w:ind w:left="1138" w:hanging="1138"/>
        <w:contextualSpacing w:val="0"/>
        <w:jc w:val="both"/>
      </w:pPr>
      <w:r>
        <w:t xml:space="preserve">The AACC service will have due regard to the </w:t>
      </w:r>
      <w:r w:rsidR="00AD651B">
        <w:t>ICB</w:t>
      </w:r>
      <w:r>
        <w:t xml:space="preserve">’s </w:t>
      </w:r>
      <w:r w:rsidR="001D6DD0">
        <w:t xml:space="preserve">statutory duty </w:t>
      </w:r>
      <w:r>
        <w:t xml:space="preserve">to follow the </w:t>
      </w:r>
      <w:r w:rsidR="001F71F6">
        <w:t>Accessible Information Standard</w:t>
      </w:r>
      <w:r>
        <w:t xml:space="preserve"> in its operations and to support implementation of the Standard in its commissioned services. The Standard</w:t>
      </w:r>
      <w:r w:rsidR="001F71F6">
        <w:t xml:space="preserve"> </w:t>
      </w:r>
      <w:r>
        <w:t>sets out a specific,</w:t>
      </w:r>
      <w:r w:rsidR="001F71F6" w:rsidRPr="00FC489F">
        <w:t xml:space="preserve"> consistent approach to identifying, recording, flagging, sharing and meeting the information and communication support needs of </w:t>
      </w:r>
      <w:r w:rsidR="002148CE">
        <w:t>individual</w:t>
      </w:r>
      <w:r w:rsidR="001F71F6" w:rsidRPr="00FC489F">
        <w:t>s, service users, carers and parents with a disability, impairment or sensory loss.</w:t>
      </w:r>
      <w:r w:rsidR="00EB14D7">
        <w:t xml:space="preserve"> </w:t>
      </w:r>
    </w:p>
    <w:p w14:paraId="5B926F66" w14:textId="1F501F1E" w:rsidR="00645A94" w:rsidRDefault="00645A94" w:rsidP="00480B93">
      <w:pPr>
        <w:pStyle w:val="Style2"/>
        <w:ind w:left="1138" w:hanging="1138"/>
        <w:contextualSpacing w:val="0"/>
        <w:jc w:val="both"/>
      </w:pPr>
      <w:r>
        <w:t xml:space="preserve">In accordance with </w:t>
      </w:r>
      <w:r w:rsidRPr="00D022B0">
        <w:t xml:space="preserve">Parliamentary and Health Services Ombudsman (PHSO) </w:t>
      </w:r>
      <w:r>
        <w:t xml:space="preserve">recommendations, other adjustments required to meet individual communication </w:t>
      </w:r>
      <w:r w:rsidR="005E62A4">
        <w:t>support</w:t>
      </w:r>
      <w:r>
        <w:t xml:space="preserve"> needs will also be facilitated as far as practicable, relating to any protected characteristic under the Equality Act 2010. </w:t>
      </w:r>
    </w:p>
    <w:p w14:paraId="18EDE32B" w14:textId="5FC68AF4" w:rsidR="001F71F6" w:rsidRDefault="001F71F6" w:rsidP="00480B93">
      <w:pPr>
        <w:pStyle w:val="Style2"/>
        <w:ind w:left="1138" w:hanging="1138"/>
        <w:contextualSpacing w:val="0"/>
        <w:jc w:val="both"/>
      </w:pPr>
      <w:r>
        <w:t>A named coordinator</w:t>
      </w:r>
      <w:r w:rsidR="001D6DD0">
        <w:t xml:space="preserve"> </w:t>
      </w:r>
      <w:r>
        <w:t xml:space="preserve">will be assigned to each </w:t>
      </w:r>
      <w:r w:rsidR="00380D2A">
        <w:t xml:space="preserve">individual </w:t>
      </w:r>
      <w:r>
        <w:t xml:space="preserve">and the </w:t>
      </w:r>
      <w:r w:rsidR="002148CE">
        <w:t>individual</w:t>
      </w:r>
      <w:r>
        <w:t xml:space="preserve">/family/representatives </w:t>
      </w:r>
      <w:r w:rsidR="00EB14D7">
        <w:t>will be</w:t>
      </w:r>
      <w:r>
        <w:t xml:space="preserve"> formally advised of the coordinator’s contact details. </w:t>
      </w:r>
    </w:p>
    <w:p w14:paraId="7930B0ED" w14:textId="5ECD904D" w:rsidR="001F71F6" w:rsidRDefault="002148CE" w:rsidP="00480B93">
      <w:pPr>
        <w:pStyle w:val="Style2"/>
        <w:ind w:left="1138" w:hanging="1138"/>
        <w:contextualSpacing w:val="0"/>
        <w:jc w:val="both"/>
      </w:pPr>
      <w:r>
        <w:t>Individual</w:t>
      </w:r>
      <w:r w:rsidR="001F71F6">
        <w:t xml:space="preserve"> and family feedback </w:t>
      </w:r>
      <w:r w:rsidR="00EB14D7">
        <w:t xml:space="preserve">will be </w:t>
      </w:r>
      <w:r w:rsidR="001F71F6">
        <w:t xml:space="preserve">collected and utilised to improve the service, through proactive </w:t>
      </w:r>
      <w:r w:rsidR="001D6DD0">
        <w:t xml:space="preserve">information </w:t>
      </w:r>
      <w:r w:rsidR="001F71F6">
        <w:t>gathering via surveys and recording of compliments</w:t>
      </w:r>
      <w:r w:rsidR="000931A3">
        <w:t>;</w:t>
      </w:r>
      <w:r w:rsidR="00EB14D7">
        <w:t xml:space="preserve"> t</w:t>
      </w:r>
      <w:r w:rsidR="001F71F6">
        <w:t>he outcome of investigations into complaints</w:t>
      </w:r>
      <w:r w:rsidR="000931A3">
        <w:t>;</w:t>
      </w:r>
      <w:r w:rsidR="001F71F6">
        <w:t xml:space="preserve"> cases reviewed by the PHSO</w:t>
      </w:r>
      <w:r w:rsidR="000931A3">
        <w:t>;</w:t>
      </w:r>
      <w:r w:rsidR="001F71F6">
        <w:t xml:space="preserve"> the outcome of </w:t>
      </w:r>
      <w:r w:rsidR="00AD651B">
        <w:t>r</w:t>
      </w:r>
      <w:r w:rsidR="001F71F6">
        <w:t xml:space="preserve">esolution </w:t>
      </w:r>
      <w:r w:rsidR="00AD651B">
        <w:t>m</w:t>
      </w:r>
      <w:r w:rsidR="001F71F6">
        <w:t>eetings and appeals</w:t>
      </w:r>
      <w:r w:rsidR="000931A3">
        <w:t>;</w:t>
      </w:r>
      <w:r w:rsidR="001F71F6">
        <w:t xml:space="preserve"> and will be used alongside feedback from NHS England’s Independent Review Panels</w:t>
      </w:r>
      <w:r w:rsidR="00AD651B">
        <w:t xml:space="preserve"> (IRP)</w:t>
      </w:r>
      <w:r w:rsidR="00EB14D7">
        <w:t>.</w:t>
      </w:r>
      <w:r w:rsidR="001F71F6">
        <w:t xml:space="preserve"> </w:t>
      </w:r>
    </w:p>
    <w:p w14:paraId="4788B3C6" w14:textId="0F25B5C3" w:rsidR="009F30CA" w:rsidRDefault="001F71F6" w:rsidP="00480B93">
      <w:pPr>
        <w:pStyle w:val="Style2"/>
        <w:ind w:left="1138" w:hanging="1138"/>
        <w:contextualSpacing w:val="0"/>
        <w:jc w:val="both"/>
      </w:pPr>
      <w:r>
        <w:t xml:space="preserve">The AACC service will ensure that elements of the service are developed through co-production with </w:t>
      </w:r>
      <w:r w:rsidR="002148CE">
        <w:t>individual</w:t>
      </w:r>
      <w:r>
        <w:t xml:space="preserve">s and families and partner organisations. </w:t>
      </w:r>
    </w:p>
    <w:p w14:paraId="0F0626F9" w14:textId="7AE6CC0C" w:rsidR="00CD42F9" w:rsidRPr="00E52432" w:rsidRDefault="00CD42F9" w:rsidP="00CD42F9">
      <w:pPr>
        <w:pStyle w:val="Heading3"/>
        <w:jc w:val="both"/>
        <w:rPr>
          <w:rFonts w:asciiTheme="minorHAnsi" w:hAnsiTheme="minorHAnsi" w:cstheme="minorHAnsi"/>
        </w:rPr>
      </w:pPr>
      <w:bookmarkStart w:id="49" w:name="_Toc110851932"/>
      <w:r w:rsidRPr="00E52432">
        <w:rPr>
          <w:rFonts w:asciiTheme="minorHAnsi" w:hAnsiTheme="minorHAnsi" w:cstheme="minorHAnsi"/>
        </w:rPr>
        <w:t>Zero Tolerance</w:t>
      </w:r>
      <w:bookmarkEnd w:id="49"/>
      <w:r w:rsidRPr="00E52432">
        <w:rPr>
          <w:rFonts w:asciiTheme="minorHAnsi" w:hAnsiTheme="minorHAnsi" w:cstheme="minorHAnsi"/>
        </w:rPr>
        <w:t xml:space="preserve"> </w:t>
      </w:r>
    </w:p>
    <w:p w14:paraId="728C35C7" w14:textId="34821536" w:rsidR="00CD42F9" w:rsidRPr="00480B93" w:rsidRDefault="00CD42F9" w:rsidP="00480B93">
      <w:pPr>
        <w:pStyle w:val="Style2"/>
        <w:ind w:left="1138" w:hanging="1138"/>
        <w:contextualSpacing w:val="0"/>
        <w:jc w:val="both"/>
      </w:pPr>
      <w:r w:rsidRPr="00480B93">
        <w:t xml:space="preserve">The AACC service will follow the ICB’s strategy and policy on Zero Tolerance of abuse. </w:t>
      </w:r>
    </w:p>
    <w:p w14:paraId="50000444" w14:textId="7D7481AB" w:rsidR="00CD42F9" w:rsidRPr="00480B93" w:rsidRDefault="00CD42F9" w:rsidP="00480B93">
      <w:pPr>
        <w:pStyle w:val="Style2"/>
        <w:ind w:left="1138" w:hanging="1138"/>
        <w:contextualSpacing w:val="0"/>
        <w:jc w:val="both"/>
      </w:pPr>
      <w:r w:rsidRPr="00480B93">
        <w:t xml:space="preserve">The service will develop </w:t>
      </w:r>
      <w:r w:rsidR="00053C2B" w:rsidRPr="00480B93">
        <w:t>p</w:t>
      </w:r>
      <w:r w:rsidRPr="00480B93">
        <w:t xml:space="preserve">rocesses as per the NHS and Social Partnership Forum’s </w:t>
      </w:r>
      <w:hyperlink r:id="rId8" w:history="1">
        <w:r w:rsidRPr="00480B93">
          <w:t>Violence prevention and reduction standard</w:t>
        </w:r>
      </w:hyperlink>
      <w:r w:rsidRPr="00480B93">
        <w:t> (2020), which provides a risk-based framework that supports a safe and secure working environment for NHS staff, safeguarding them against abuse, aggression and violence, as supported by the</w:t>
      </w:r>
      <w:r w:rsidR="001D6DD0" w:rsidRPr="00480B93">
        <w:t xml:space="preserve"> </w:t>
      </w:r>
      <w:r w:rsidRPr="00480B93">
        <w:t xml:space="preserve">Secretary of State for Health’s Correspondence: </w:t>
      </w:r>
      <w:hyperlink r:id="rId9" w:history="1">
        <w:r w:rsidRPr="00480B93">
          <w:t>Violence against NHS staff: letter to the workforce</w:t>
        </w:r>
      </w:hyperlink>
      <w:r w:rsidRPr="00480B93">
        <w:t xml:space="preserve"> (18 February 2020). We will take a robust approach to zero tolerance of violence, aggression and discrimination toward staff and will adopt the guidance issued by the British Medical Association (BMA)</w:t>
      </w:r>
      <w:r w:rsidR="00053C2B" w:rsidRPr="00480B93">
        <w:t>:</w:t>
      </w:r>
      <w:r w:rsidRPr="00480B93">
        <w:t xml:space="preserve"> </w:t>
      </w:r>
      <w:hyperlink r:id="rId10" w:history="1">
        <w:r w:rsidRPr="00480B93">
          <w:t xml:space="preserve">How to manage discrimination from </w:t>
        </w:r>
        <w:r w:rsidR="002148CE" w:rsidRPr="00480B93">
          <w:t>individual</w:t>
        </w:r>
        <w:r w:rsidRPr="00480B93">
          <w:t>s and their guardians/relatives</w:t>
        </w:r>
      </w:hyperlink>
      <w:r w:rsidRPr="00480B93">
        <w:t xml:space="preserve"> (BMA, 2022) in responding to incidents relating to discrimination, harassment, racism, hate crime, etc.    </w:t>
      </w:r>
    </w:p>
    <w:p w14:paraId="2BB0722E" w14:textId="799F8124" w:rsidR="00CD42F9" w:rsidRPr="00480B93" w:rsidRDefault="00CD42F9" w:rsidP="00480B93">
      <w:pPr>
        <w:pStyle w:val="Style2"/>
        <w:ind w:left="1138" w:hanging="1138"/>
        <w:contextualSpacing w:val="0"/>
        <w:jc w:val="both"/>
      </w:pPr>
      <w:r w:rsidRPr="00480B93">
        <w:t xml:space="preserve">The AACC service will support its commissioned providers in responding to incidents of this nature, ensuring the protection of staff and without causing detriment to the care and support to the individual requiring care. </w:t>
      </w:r>
    </w:p>
    <w:p w14:paraId="6ECC67FB" w14:textId="04F40538" w:rsidR="001F71F6" w:rsidRPr="002926CA" w:rsidRDefault="001F71F6" w:rsidP="002926CA">
      <w:pPr>
        <w:pStyle w:val="Heading3"/>
        <w:jc w:val="both"/>
      </w:pPr>
      <w:bookmarkStart w:id="50" w:name="_Hlk100744011"/>
      <w:bookmarkStart w:id="51" w:name="_Toc110851933"/>
      <w:r w:rsidRPr="002926CA">
        <w:t>People and Skills</w:t>
      </w:r>
      <w:bookmarkEnd w:id="51"/>
      <w:r w:rsidR="00AD7D10" w:rsidRPr="002926CA">
        <w:t xml:space="preserve"> </w:t>
      </w:r>
    </w:p>
    <w:p w14:paraId="42EAAA22" w14:textId="3FE28AB1" w:rsidR="00F21AD4" w:rsidRDefault="00F21AD4" w:rsidP="00480B93">
      <w:pPr>
        <w:pStyle w:val="Style2"/>
        <w:ind w:left="1138" w:hanging="1138"/>
        <w:contextualSpacing w:val="0"/>
        <w:jc w:val="both"/>
      </w:pPr>
      <w:r>
        <w:t xml:space="preserve">AACC documentation should be completed by trained staff who are familiar with the principles of the National Framework and are trained in the use of the </w:t>
      </w:r>
      <w:r w:rsidR="00DA2CD3">
        <w:t xml:space="preserve">published </w:t>
      </w:r>
      <w:r>
        <w:t>tools. The AACC service will take the necessary steps to train particular groups of staff and to ensure that trained staff are supporting assessments, through provision of access to a suite of mandatory e-learning  (</w:t>
      </w:r>
      <w:hyperlink r:id="rId11">
        <w:r w:rsidRPr="00480B93">
          <w:t>www.e-lfh.org.uk/programmes/continuing-healthcare/</w:t>
        </w:r>
      </w:hyperlink>
      <w:r>
        <w:t xml:space="preserve">) and </w:t>
      </w:r>
      <w:r w:rsidRPr="00480B93">
        <w:t>supporting</w:t>
      </w:r>
      <w:r>
        <w:t xml:space="preserve"> </w:t>
      </w:r>
      <w:r w:rsidRPr="00480B93">
        <w:t xml:space="preserve">the development </w:t>
      </w:r>
      <w:r>
        <w:t>and</w:t>
      </w:r>
      <w:r w:rsidRPr="00480B93">
        <w:t xml:space="preserve"> delivery </w:t>
      </w:r>
      <w:r>
        <w:t>of</w:t>
      </w:r>
      <w:r w:rsidRPr="00480B93">
        <w:t xml:space="preserve"> joint</w:t>
      </w:r>
      <w:r>
        <w:t xml:space="preserve"> training</w:t>
      </w:r>
      <w:r w:rsidRPr="00480B93">
        <w:t xml:space="preserve"> programmes with</w:t>
      </w:r>
      <w:r>
        <w:t xml:space="preserve"> Local </w:t>
      </w:r>
      <w:r w:rsidRPr="00480B93">
        <w:t xml:space="preserve">Authority </w:t>
      </w:r>
      <w:r>
        <w:t xml:space="preserve">and </w:t>
      </w:r>
      <w:r w:rsidRPr="00480B93">
        <w:t>other</w:t>
      </w:r>
      <w:r>
        <w:t xml:space="preserve"> partners/</w:t>
      </w:r>
      <w:r w:rsidRPr="00480B93">
        <w:t>providers</w:t>
      </w:r>
      <w:r>
        <w:t xml:space="preserve"> </w:t>
      </w:r>
      <w:r w:rsidRPr="00480B93">
        <w:t xml:space="preserve">regarding </w:t>
      </w:r>
      <w:r>
        <w:t>all</w:t>
      </w:r>
      <w:r w:rsidRPr="00480B93">
        <w:t xml:space="preserve"> </w:t>
      </w:r>
      <w:r>
        <w:t>process</w:t>
      </w:r>
      <w:r w:rsidRPr="00480B93">
        <w:t xml:space="preserve"> </w:t>
      </w:r>
      <w:r>
        <w:t>and</w:t>
      </w:r>
      <w:r w:rsidRPr="00480B93">
        <w:t xml:space="preserve"> policies</w:t>
      </w:r>
      <w:r>
        <w:t xml:space="preserve"> </w:t>
      </w:r>
      <w:r w:rsidRPr="00480B93">
        <w:t xml:space="preserve">(local </w:t>
      </w:r>
      <w:r>
        <w:t>and</w:t>
      </w:r>
      <w:r w:rsidRPr="00480B93">
        <w:t xml:space="preserve"> national) regarding eligibility for</w:t>
      </w:r>
      <w:r>
        <w:t xml:space="preserve"> CYPCC, </w:t>
      </w:r>
      <w:r w:rsidRPr="00480B93">
        <w:t>CHC</w:t>
      </w:r>
      <w:r>
        <w:t xml:space="preserve"> </w:t>
      </w:r>
      <w:r w:rsidRPr="00480B93">
        <w:t>and</w:t>
      </w:r>
      <w:r>
        <w:t xml:space="preserve"> FNC</w:t>
      </w:r>
      <w:r w:rsidRPr="00480B93">
        <w:t xml:space="preserve"> </w:t>
      </w:r>
      <w:r>
        <w:t>and</w:t>
      </w:r>
      <w:r w:rsidRPr="00480B93">
        <w:t xml:space="preserve"> the</w:t>
      </w:r>
      <w:r>
        <w:t xml:space="preserve"> </w:t>
      </w:r>
      <w:r w:rsidRPr="00480B93">
        <w:t>delivery</w:t>
      </w:r>
      <w:r>
        <w:t xml:space="preserve"> </w:t>
      </w:r>
      <w:r w:rsidRPr="00480B93">
        <w:t>of Personal</w:t>
      </w:r>
      <w:r>
        <w:t xml:space="preserve"> Health</w:t>
      </w:r>
      <w:r w:rsidRPr="00480B93">
        <w:t xml:space="preserve"> Budgets</w:t>
      </w:r>
      <w:r>
        <w:t xml:space="preserve"> (PHB).</w:t>
      </w:r>
    </w:p>
    <w:p w14:paraId="3F8DB0BF" w14:textId="202C4792" w:rsidR="00F21AD4" w:rsidRPr="00CB4627" w:rsidRDefault="00F21AD4" w:rsidP="00480B93">
      <w:pPr>
        <w:pStyle w:val="Style2"/>
        <w:ind w:left="1138" w:hanging="1138"/>
        <w:contextualSpacing w:val="0"/>
        <w:jc w:val="both"/>
      </w:pPr>
      <w:r>
        <w:t>The AACC service will actively identify staff groups that are completing Checklists or completing AACC assessments and ensure that an effective, rolling training programme is in place to ensure that these identified groups complete training that reflects the contemporaneous National Frameworks and is delivered with a joint equitable approach with the LAs.  Training</w:t>
      </w:r>
      <w:r w:rsidRPr="00480B93">
        <w:t xml:space="preserve"> on</w:t>
      </w:r>
      <w:r>
        <w:t xml:space="preserve"> </w:t>
      </w:r>
      <w:r w:rsidRPr="00480B93">
        <w:t>the</w:t>
      </w:r>
      <w:r>
        <w:t xml:space="preserve"> National </w:t>
      </w:r>
      <w:r w:rsidRPr="00480B93">
        <w:t xml:space="preserve">Frameworks will </w:t>
      </w:r>
      <w:r>
        <w:t xml:space="preserve">be </w:t>
      </w:r>
      <w:r w:rsidRPr="00480B93">
        <w:t>undertaken and include</w:t>
      </w:r>
      <w:r>
        <w:t xml:space="preserve"> appropriate</w:t>
      </w:r>
      <w:r w:rsidRPr="00480B93">
        <w:t xml:space="preserve"> hospital, community and </w:t>
      </w:r>
      <w:r>
        <w:t xml:space="preserve">adult </w:t>
      </w:r>
      <w:r w:rsidRPr="00480B93">
        <w:t>social</w:t>
      </w:r>
      <w:r>
        <w:t xml:space="preserve"> care</w:t>
      </w:r>
      <w:r w:rsidRPr="00480B93">
        <w:t xml:space="preserve"> staff</w:t>
      </w:r>
      <w:r>
        <w:t xml:space="preserve"> </w:t>
      </w:r>
      <w:r w:rsidRPr="00480B93">
        <w:t>involved</w:t>
      </w:r>
      <w:r>
        <w:t xml:space="preserve"> in the </w:t>
      </w:r>
      <w:r w:rsidRPr="00480B93">
        <w:t>implementation</w:t>
      </w:r>
      <w:r>
        <w:t xml:space="preserve"> </w:t>
      </w:r>
      <w:r w:rsidRPr="00480B93">
        <w:t>and application of the National Frameworks.</w:t>
      </w:r>
      <w:r>
        <w:t xml:space="preserve"> </w:t>
      </w:r>
      <w:r w:rsidRPr="00480B93">
        <w:t>Training will</w:t>
      </w:r>
      <w:r>
        <w:t xml:space="preserve"> be </w:t>
      </w:r>
      <w:r w:rsidRPr="00480B93">
        <w:t>provided</w:t>
      </w:r>
      <w:r>
        <w:t xml:space="preserve"> in</w:t>
      </w:r>
      <w:r w:rsidRPr="00480B93">
        <w:t xml:space="preserve"> </w:t>
      </w:r>
      <w:r>
        <w:t>the</w:t>
      </w:r>
      <w:r w:rsidRPr="00480B93">
        <w:t xml:space="preserve"> use</w:t>
      </w:r>
      <w:r>
        <w:t xml:space="preserve"> </w:t>
      </w:r>
      <w:r w:rsidRPr="00480B93">
        <w:t>of</w:t>
      </w:r>
      <w:r>
        <w:t xml:space="preserve"> the</w:t>
      </w:r>
      <w:r w:rsidRPr="00480B93">
        <w:t xml:space="preserve"> National Tools,</w:t>
      </w:r>
      <w:r>
        <w:t xml:space="preserve"> the</w:t>
      </w:r>
      <w:r w:rsidRPr="00480B93">
        <w:t xml:space="preserve"> identification of a “primary </w:t>
      </w:r>
      <w:r>
        <w:t xml:space="preserve">health </w:t>
      </w:r>
      <w:r w:rsidRPr="00480B93">
        <w:t>need”,</w:t>
      </w:r>
      <w:r>
        <w:t xml:space="preserve"> </w:t>
      </w:r>
      <w:r w:rsidRPr="00480B93">
        <w:t>the</w:t>
      </w:r>
      <w:r>
        <w:t xml:space="preserve"> </w:t>
      </w:r>
      <w:r w:rsidRPr="00480B93">
        <w:t>application process</w:t>
      </w:r>
      <w:r>
        <w:t xml:space="preserve"> </w:t>
      </w:r>
      <w:r w:rsidRPr="00480B93">
        <w:t xml:space="preserve">and </w:t>
      </w:r>
      <w:r>
        <w:t xml:space="preserve">the </w:t>
      </w:r>
      <w:r w:rsidRPr="00480B93">
        <w:t xml:space="preserve">timescales </w:t>
      </w:r>
      <w:r>
        <w:t xml:space="preserve">for </w:t>
      </w:r>
      <w:r w:rsidRPr="00480B93">
        <w:t>completion</w:t>
      </w:r>
      <w:r>
        <w:t xml:space="preserve"> </w:t>
      </w:r>
      <w:r w:rsidRPr="00480B93">
        <w:t>of</w:t>
      </w:r>
      <w:r>
        <w:t xml:space="preserve"> </w:t>
      </w:r>
      <w:r w:rsidRPr="00480B93">
        <w:t>assessments.</w:t>
      </w:r>
    </w:p>
    <w:p w14:paraId="39C2536C" w14:textId="6EE5A6FB" w:rsidR="00F21AD4" w:rsidRPr="00CB4627" w:rsidRDefault="00F21AD4" w:rsidP="00480B93">
      <w:pPr>
        <w:pStyle w:val="Style2"/>
        <w:ind w:left="1138" w:hanging="1138"/>
        <w:contextualSpacing w:val="0"/>
        <w:jc w:val="both"/>
      </w:pPr>
      <w:r>
        <w:t>Training</w:t>
      </w:r>
      <w:r w:rsidRPr="00480B93">
        <w:t xml:space="preserve"> </w:t>
      </w:r>
      <w:r>
        <w:t xml:space="preserve">will be </w:t>
      </w:r>
      <w:r w:rsidRPr="00480B93">
        <w:t>delivered</w:t>
      </w:r>
      <w:r>
        <w:t xml:space="preserve"> collaboratively wherever possible, led </w:t>
      </w:r>
      <w:r w:rsidRPr="00480B93">
        <w:t xml:space="preserve">by </w:t>
      </w:r>
      <w:r>
        <w:t>the</w:t>
      </w:r>
      <w:r w:rsidRPr="00480B93">
        <w:t xml:space="preserve"> </w:t>
      </w:r>
      <w:r>
        <w:t>ICB AACC team</w:t>
      </w:r>
      <w:r w:rsidRPr="00480B93">
        <w:t xml:space="preserve"> </w:t>
      </w:r>
      <w:r>
        <w:t>as part of a</w:t>
      </w:r>
      <w:r w:rsidRPr="00480B93">
        <w:t xml:space="preserve"> planned</w:t>
      </w:r>
      <w:r>
        <w:t xml:space="preserve"> </w:t>
      </w:r>
      <w:r w:rsidRPr="00480B93">
        <w:t xml:space="preserve">programme throughout any given year. </w:t>
      </w:r>
      <w:r>
        <w:t xml:space="preserve">Training uptake will be monitored and utilised to proactively inform where </w:t>
      </w:r>
      <w:r w:rsidRPr="00480B93">
        <w:t xml:space="preserve">targeted additional training can be offered appropriately, including when there are changes made to the National Frameworks. </w:t>
      </w:r>
    </w:p>
    <w:p w14:paraId="10FD5151" w14:textId="5DC27CE3" w:rsidR="00AD7D10" w:rsidRDefault="00776558" w:rsidP="00480B93">
      <w:pPr>
        <w:pStyle w:val="Style2"/>
        <w:ind w:left="1138" w:hanging="1138"/>
        <w:contextualSpacing w:val="0"/>
        <w:jc w:val="both"/>
      </w:pPr>
      <w:r>
        <w:t xml:space="preserve">The AACC service will ensure that </w:t>
      </w:r>
      <w:r w:rsidR="002926CA">
        <w:t xml:space="preserve">staff are supported through effective training and supervision and have </w:t>
      </w:r>
      <w:r>
        <w:t>protected time for learning &amp; development</w:t>
      </w:r>
      <w:r w:rsidR="002926CA">
        <w:t xml:space="preserve">. Staff </w:t>
      </w:r>
      <w:r>
        <w:t xml:space="preserve">will be supported to </w:t>
      </w:r>
      <w:r w:rsidR="00AD7D10">
        <w:t>tak</w:t>
      </w:r>
      <w:r>
        <w:t>e</w:t>
      </w:r>
      <w:r w:rsidR="00AD7D10">
        <w:t xml:space="preserve"> opportunities forward in developing senior leadership</w:t>
      </w:r>
      <w:r w:rsidR="00380D2A">
        <w:t xml:space="preserve">, </w:t>
      </w:r>
      <w:r w:rsidR="00DA2CD3">
        <w:t>patient</w:t>
      </w:r>
      <w:r w:rsidR="00380D2A">
        <w:t xml:space="preserve"> management</w:t>
      </w:r>
      <w:r>
        <w:t xml:space="preserve"> and </w:t>
      </w:r>
      <w:r w:rsidR="00AD7D10">
        <w:t xml:space="preserve">administrative skills </w:t>
      </w:r>
      <w:r>
        <w:t xml:space="preserve">and in developing resilience, </w:t>
      </w:r>
      <w:r w:rsidR="00AD7D10">
        <w:t xml:space="preserve">supported by the workforce plan and senior management. Training uptake </w:t>
      </w:r>
      <w:r>
        <w:t xml:space="preserve">will be </w:t>
      </w:r>
      <w:r w:rsidR="00AD7D10">
        <w:t xml:space="preserve">monitored and utilised to proactively inform where further support may be required. </w:t>
      </w:r>
    </w:p>
    <w:p w14:paraId="17DC5504" w14:textId="093DE9EF" w:rsidR="00DA2CD3" w:rsidRDefault="00776558" w:rsidP="00480B93">
      <w:pPr>
        <w:pStyle w:val="Style2"/>
        <w:ind w:left="1138" w:hanging="1138"/>
        <w:contextualSpacing w:val="0"/>
        <w:jc w:val="both"/>
      </w:pPr>
      <w:r>
        <w:t xml:space="preserve">All staff that contribute to the </w:t>
      </w:r>
      <w:r w:rsidR="00043C80">
        <w:t>AACC</w:t>
      </w:r>
      <w:r>
        <w:t xml:space="preserve"> pathway will have completed all </w:t>
      </w:r>
      <w:r w:rsidR="000931A3">
        <w:t>face to face and/or</w:t>
      </w:r>
      <w:r>
        <w:t xml:space="preserve"> </w:t>
      </w:r>
      <w:r w:rsidR="000931A3">
        <w:t>e</w:t>
      </w:r>
      <w:r>
        <w:t xml:space="preserve">-Learning relevant to their role. </w:t>
      </w:r>
      <w:r w:rsidR="00AD7D10">
        <w:t xml:space="preserve">The </w:t>
      </w:r>
      <w:r>
        <w:t xml:space="preserve">service will have </w:t>
      </w:r>
      <w:r w:rsidR="00AD7D10">
        <w:t xml:space="preserve">a system in place </w:t>
      </w:r>
      <w:r>
        <w:t xml:space="preserve">through registration of relevant practitioners </w:t>
      </w:r>
      <w:r w:rsidR="00AD7D10">
        <w:t xml:space="preserve">to </w:t>
      </w:r>
      <w:r>
        <w:t>submit Checklists and take part in the multidisciplinary teams undertaking assessments, to ens</w:t>
      </w:r>
      <w:r w:rsidR="00AD7D10">
        <w:t>ure the appropriate professionals are always involved</w:t>
      </w:r>
      <w:r>
        <w:t xml:space="preserve"> and that a</w:t>
      </w:r>
      <w:r w:rsidR="00AD7D10">
        <w:t xml:space="preserve">ll staff (internal and external) involved in </w:t>
      </w:r>
      <w:r w:rsidR="00043C80">
        <w:t>AACC</w:t>
      </w:r>
      <w:r w:rsidR="00AD7D10">
        <w:t xml:space="preserve"> process are trained, assessed and </w:t>
      </w:r>
      <w:r w:rsidR="000931A3">
        <w:t xml:space="preserve">competency </w:t>
      </w:r>
      <w:r w:rsidR="00AD7D10">
        <w:t xml:space="preserve">reviewed in line with the National CHC Competency Framework. All staff that contribute to the </w:t>
      </w:r>
      <w:r w:rsidR="002926CA">
        <w:t>AACC</w:t>
      </w:r>
      <w:r w:rsidR="00AD7D10">
        <w:t xml:space="preserve"> pathway </w:t>
      </w:r>
      <w:r>
        <w:t xml:space="preserve">will </w:t>
      </w:r>
      <w:r w:rsidR="00AD7D10">
        <w:t>have either been assessed as competent for their role or have development plans in place</w:t>
      </w:r>
      <w:r w:rsidR="002926CA">
        <w:t xml:space="preserve"> and understand their role within the AACC service. </w:t>
      </w:r>
    </w:p>
    <w:p w14:paraId="6CFE934A" w14:textId="274424A8" w:rsidR="00AD7D10" w:rsidRDefault="00776558" w:rsidP="00480B93">
      <w:pPr>
        <w:pStyle w:val="Style2"/>
        <w:ind w:left="1138" w:hanging="1138"/>
        <w:contextualSpacing w:val="0"/>
        <w:jc w:val="both"/>
      </w:pPr>
      <w:r>
        <w:t>The AACC service operates a c</w:t>
      </w:r>
      <w:r w:rsidR="00AD7D10">
        <w:t xml:space="preserve">learly defined prioritisation matrix for assessment and </w:t>
      </w:r>
      <w:r w:rsidR="002926CA">
        <w:t xml:space="preserve">timely </w:t>
      </w:r>
      <w:r w:rsidR="00AD7D10">
        <w:t xml:space="preserve">reviews </w:t>
      </w:r>
      <w:r w:rsidR="002926CA">
        <w:t xml:space="preserve">of eligibility and commissioned care, </w:t>
      </w:r>
      <w:r w:rsidR="00AD7D10">
        <w:t xml:space="preserve">to help </w:t>
      </w:r>
      <w:r>
        <w:t xml:space="preserve">the </w:t>
      </w:r>
      <w:r w:rsidR="00AD7D10">
        <w:t xml:space="preserve">team balance </w:t>
      </w:r>
      <w:r w:rsidR="002926CA">
        <w:t xml:space="preserve">the </w:t>
      </w:r>
      <w:r w:rsidR="00AD7D10">
        <w:t xml:space="preserve">workload; </w:t>
      </w:r>
      <w:r>
        <w:t xml:space="preserve">this ensures that </w:t>
      </w:r>
      <w:r w:rsidR="00AD7D10">
        <w:t xml:space="preserve">effective resource allocation is carried out. </w:t>
      </w:r>
    </w:p>
    <w:p w14:paraId="7D657C95" w14:textId="7C3F08A9" w:rsidR="00AD7D10" w:rsidRDefault="002926CA" w:rsidP="00480B93">
      <w:pPr>
        <w:pStyle w:val="Style2"/>
        <w:ind w:left="1138" w:hanging="1138"/>
        <w:contextualSpacing w:val="0"/>
        <w:jc w:val="both"/>
      </w:pPr>
      <w:r>
        <w:t xml:space="preserve">The AACC service model ensures that the </w:t>
      </w:r>
      <w:r w:rsidR="00AD7D10">
        <w:t xml:space="preserve">right resources </w:t>
      </w:r>
      <w:r>
        <w:t xml:space="preserve">are </w:t>
      </w:r>
      <w:r w:rsidR="00AD7D10">
        <w:t>in place within the service to meet the operational requirements across the end-to-</w:t>
      </w:r>
      <w:r w:rsidR="00642116">
        <w:t>end process</w:t>
      </w:r>
      <w:r w:rsidR="00AD7D10">
        <w:t xml:space="preserve">. Ongoing workforce capacity planning </w:t>
      </w:r>
      <w:r>
        <w:t xml:space="preserve">is </w:t>
      </w:r>
      <w:r w:rsidR="00AD7D10">
        <w:t>in place</w:t>
      </w:r>
      <w:r>
        <w:t xml:space="preserve"> and </w:t>
      </w:r>
      <w:r w:rsidR="00AD7D10">
        <w:t xml:space="preserve">any gaps are understood and addressed. </w:t>
      </w:r>
    </w:p>
    <w:bookmarkEnd w:id="50"/>
    <w:p w14:paraId="177458E3" w14:textId="77777777" w:rsidR="00AD7D10" w:rsidRDefault="00AD7D10" w:rsidP="001F71F6">
      <w:pPr>
        <w:ind w:hanging="1134"/>
      </w:pPr>
    </w:p>
    <w:p w14:paraId="32BDF102" w14:textId="66A79895" w:rsidR="001F71F6" w:rsidRPr="0015255F" w:rsidRDefault="00AD7D10" w:rsidP="001F71F6">
      <w:pPr>
        <w:pStyle w:val="Heading3"/>
      </w:pPr>
      <w:bookmarkStart w:id="52" w:name="_Toc110851934"/>
      <w:r>
        <w:t>Governance</w:t>
      </w:r>
      <w:bookmarkEnd w:id="52"/>
    </w:p>
    <w:p w14:paraId="488B949C" w14:textId="0E8581DA" w:rsidR="00945817" w:rsidRDefault="002926CA" w:rsidP="00480B93">
      <w:pPr>
        <w:pStyle w:val="Style2"/>
        <w:ind w:left="1138" w:hanging="1138"/>
        <w:contextualSpacing w:val="0"/>
        <w:jc w:val="both"/>
      </w:pPr>
      <w:r>
        <w:t xml:space="preserve">The AACC service has a fully implemented governance schedule that monitors decision-making processes to enable a consistent and fair application of eligibility according to the Frameworks. </w:t>
      </w:r>
      <w:r w:rsidR="00AD7D10">
        <w:t>The</w:t>
      </w:r>
      <w:r w:rsidR="00945817">
        <w:t xml:space="preserve"> AACC service will ensure that there is a robust process </w:t>
      </w:r>
      <w:r w:rsidR="00AD7D10">
        <w:t xml:space="preserve">in place to determine equity of decision making and appropriateness of the application of </w:t>
      </w:r>
      <w:r>
        <w:t xml:space="preserve">the </w:t>
      </w:r>
      <w:r w:rsidR="009E6CD2">
        <w:t>P</w:t>
      </w:r>
      <w:r w:rsidR="00AD7D10">
        <w:t xml:space="preserve">rimary </w:t>
      </w:r>
      <w:r w:rsidR="009E6CD2">
        <w:t>H</w:t>
      </w:r>
      <w:r w:rsidR="00AD7D10">
        <w:t xml:space="preserve">ealth </w:t>
      </w:r>
      <w:r w:rsidR="009E6CD2">
        <w:t>N</w:t>
      </w:r>
      <w:r w:rsidR="00AD7D10">
        <w:t>eed</w:t>
      </w:r>
      <w:r>
        <w:t>s test</w:t>
      </w:r>
      <w:r w:rsidR="007256B5">
        <w:t xml:space="preserve"> </w:t>
      </w:r>
      <w:r w:rsidR="00D022B0">
        <w:t>(</w:t>
      </w:r>
      <w:r w:rsidR="007256B5">
        <w:t>CHC</w:t>
      </w:r>
      <w:r w:rsidR="00D022B0">
        <w:t xml:space="preserve">) and </w:t>
      </w:r>
      <w:r w:rsidR="00043C80">
        <w:t xml:space="preserve">scoring of </w:t>
      </w:r>
      <w:r w:rsidR="00D022B0">
        <w:t>domain</w:t>
      </w:r>
      <w:r w:rsidR="00043C80">
        <w:t>s</w:t>
      </w:r>
      <w:r w:rsidR="00D022B0">
        <w:t xml:space="preserve"> (CYPCC)</w:t>
      </w:r>
      <w:r w:rsidR="00945817">
        <w:t>,</w:t>
      </w:r>
      <w:r w:rsidR="00AD7D10">
        <w:t xml:space="preserve"> </w:t>
      </w:r>
      <w:r w:rsidR="00945817">
        <w:t>via regular audit of decision-making and standardisation reviews / internal peer support for practitioners. E</w:t>
      </w:r>
      <w:r w:rsidR="00AD7D10">
        <w:t>xternal peer review</w:t>
      </w:r>
      <w:r w:rsidR="00945817">
        <w:t xml:space="preserve"> is </w:t>
      </w:r>
      <w:r w:rsidR="00C41B24">
        <w:t xml:space="preserve">provided </w:t>
      </w:r>
      <w:r w:rsidR="00945817">
        <w:t>via NHS England’s IRPs</w:t>
      </w:r>
      <w:r w:rsidR="00C41B24">
        <w:t xml:space="preserve"> and ‘deep dives’ into performance data</w:t>
      </w:r>
      <w:r w:rsidR="00945817">
        <w:t xml:space="preserve">. </w:t>
      </w:r>
      <w:r w:rsidR="00AD7D10">
        <w:t xml:space="preserve">  </w:t>
      </w:r>
    </w:p>
    <w:p w14:paraId="07CABDAA" w14:textId="32D342CB" w:rsidR="002926CA" w:rsidRDefault="009B309D" w:rsidP="00480B93">
      <w:pPr>
        <w:pStyle w:val="Style2"/>
        <w:ind w:left="1138" w:hanging="1138"/>
        <w:contextualSpacing w:val="0"/>
        <w:jc w:val="both"/>
      </w:pPr>
      <w:r>
        <w:t xml:space="preserve">Clear lines of management and reporting are in place to support the effective discharge of AACC duties. </w:t>
      </w:r>
      <w:r w:rsidR="00AD7D10">
        <w:t xml:space="preserve">Roles and responsibilities of practitioners, teams and organisations delivering </w:t>
      </w:r>
      <w:r w:rsidR="00C41B24">
        <w:t xml:space="preserve">any elements of </w:t>
      </w:r>
      <w:r w:rsidR="002926CA">
        <w:t>AACC</w:t>
      </w:r>
      <w:r w:rsidR="00AD7D10">
        <w:t xml:space="preserve"> on behalf of the </w:t>
      </w:r>
      <w:r w:rsidR="002926CA">
        <w:t>ICB</w:t>
      </w:r>
      <w:r w:rsidR="00AD7D10">
        <w:t xml:space="preserve"> have been clearly defined and are supported by comprehensive K</w:t>
      </w:r>
      <w:r w:rsidR="00AD651B">
        <w:t>ey Performance Indicators (K</w:t>
      </w:r>
      <w:r w:rsidR="00AD7D10">
        <w:t>PIs</w:t>
      </w:r>
      <w:r w:rsidR="00AD651B">
        <w:t>)</w:t>
      </w:r>
      <w:r w:rsidR="00AD7D10">
        <w:t xml:space="preserve">, specifications and contracts to ensure </w:t>
      </w:r>
      <w:r>
        <w:t xml:space="preserve">the ICB </w:t>
      </w:r>
      <w:r w:rsidR="00AD7D10">
        <w:t>can effectively meet the mandate of the National Framework</w:t>
      </w:r>
      <w:r>
        <w:t>s</w:t>
      </w:r>
      <w:r w:rsidR="00AD7D10">
        <w:t xml:space="preserve">. </w:t>
      </w:r>
    </w:p>
    <w:p w14:paraId="23370E09" w14:textId="6DB6265F" w:rsidR="002F7565" w:rsidRDefault="00AD7D10" w:rsidP="00480B93">
      <w:pPr>
        <w:pStyle w:val="Style2"/>
        <w:ind w:left="1138" w:hanging="1138"/>
        <w:contextualSpacing w:val="0"/>
        <w:jc w:val="both"/>
      </w:pPr>
      <w:r>
        <w:t xml:space="preserve">There is strong oversight of external parties with active enforcement of contracts to ensure the effective delivery of </w:t>
      </w:r>
      <w:r w:rsidR="00F867A0">
        <w:t xml:space="preserve">any </w:t>
      </w:r>
      <w:r>
        <w:t xml:space="preserve">outsourced </w:t>
      </w:r>
      <w:r w:rsidR="00380D2A">
        <w:t>AACC</w:t>
      </w:r>
      <w:r>
        <w:t xml:space="preserve"> services, with a focus on value for money. </w:t>
      </w:r>
      <w:r w:rsidR="002F7565">
        <w:t xml:space="preserve">Clear oversight of provider performance will be maintained, </w:t>
      </w:r>
      <w:r w:rsidR="003C0700">
        <w:t>requiring regular reporting f</w:t>
      </w:r>
      <w:r w:rsidR="00380D2A">
        <w:t>rom</w:t>
      </w:r>
      <w:r w:rsidR="003C0700">
        <w:t xml:space="preserve"> providers against their contractual obligations and </w:t>
      </w:r>
      <w:r w:rsidR="002F7565">
        <w:t>monitoring KPI</w:t>
      </w:r>
      <w:r w:rsidR="00AD651B">
        <w:t>s</w:t>
      </w:r>
      <w:r w:rsidR="002F7565">
        <w:t>, with a plan in place to address provider quality if concerns are identified.</w:t>
      </w:r>
    </w:p>
    <w:p w14:paraId="597F780B" w14:textId="7FEAEAAE" w:rsidR="00C41B24" w:rsidRDefault="00AD7D10" w:rsidP="00480B93">
      <w:pPr>
        <w:pStyle w:val="Style2"/>
        <w:ind w:left="1138" w:hanging="1138"/>
        <w:contextualSpacing w:val="0"/>
        <w:jc w:val="both"/>
      </w:pPr>
      <w:r>
        <w:t xml:space="preserve">Joint LA governance processes are in place and are actively utilised to manage the transfer of responsibilities between </w:t>
      </w:r>
      <w:r w:rsidR="009B309D">
        <w:t>ICB</w:t>
      </w:r>
      <w:r>
        <w:t xml:space="preserve"> and LA, proactively meeting the 28</w:t>
      </w:r>
      <w:r w:rsidR="00F867A0">
        <w:t>-</w:t>
      </w:r>
      <w:r>
        <w:t xml:space="preserve">day target. </w:t>
      </w:r>
    </w:p>
    <w:p w14:paraId="17206E47" w14:textId="723A0779" w:rsidR="00DC1503" w:rsidRDefault="00D022B0" w:rsidP="00480B93">
      <w:pPr>
        <w:pStyle w:val="Style2"/>
        <w:ind w:left="1138" w:hanging="1138"/>
        <w:contextualSpacing w:val="0"/>
        <w:jc w:val="both"/>
      </w:pPr>
      <w:r>
        <w:t xml:space="preserve">Where a child or young person has a special educational need or disability (SEND), then </w:t>
      </w:r>
      <w:r w:rsidR="00564985">
        <w:t xml:space="preserve">the </w:t>
      </w:r>
      <w:r w:rsidR="00380D2A">
        <w:t>ICB</w:t>
      </w:r>
      <w:r>
        <w:t xml:space="preserve">s and </w:t>
      </w:r>
      <w:r w:rsidR="00564985">
        <w:t>LA</w:t>
      </w:r>
      <w:r>
        <w:t>s should endeavour to coordinate the assessment and agreement of the package of continuing care, as part of the process to develop the child’s Education, Health and Care plan</w:t>
      </w:r>
      <w:r w:rsidR="00DA606F">
        <w:t xml:space="preserve"> in accordance with the Children and Families Act 2014</w:t>
      </w:r>
      <w:r w:rsidR="00F867A0">
        <w:t>.</w:t>
      </w:r>
      <w:r w:rsidR="00DC1503">
        <w:t xml:space="preserve"> It is important to note that where a child is ‘looked after’ by the local authority they have </w:t>
      </w:r>
      <w:r w:rsidR="00DC1503" w:rsidRPr="005A2620">
        <w:t xml:space="preserve">responsibility to </w:t>
      </w:r>
      <w:r w:rsidR="00DC1503" w:rsidRPr="00480B93">
        <w:t>safeguard and promote the welfare of the child as set out in section 22(3) of the Childrens’ Act 1989.</w:t>
      </w:r>
    </w:p>
    <w:p w14:paraId="431F7716" w14:textId="373DAD4F" w:rsidR="00C41B24" w:rsidRDefault="00AD7D10" w:rsidP="00480B93">
      <w:pPr>
        <w:pStyle w:val="Style2"/>
        <w:ind w:left="1138" w:hanging="1138"/>
        <w:contextualSpacing w:val="0"/>
        <w:jc w:val="both"/>
      </w:pPr>
      <w:r>
        <w:t>The</w:t>
      </w:r>
      <w:r w:rsidR="00C41B24">
        <w:t xml:space="preserve"> AACC service will ensure </w:t>
      </w:r>
      <w:r>
        <w:t xml:space="preserve">clarity and agreement with all stakeholders on ways of working, organisational obligations and performance management processes. This includes agreement with any organisations commissioned to deliver </w:t>
      </w:r>
      <w:r w:rsidR="00C41B24">
        <w:t xml:space="preserve">AACC </w:t>
      </w:r>
      <w:r>
        <w:t xml:space="preserve">on the </w:t>
      </w:r>
      <w:r w:rsidR="00C41B24">
        <w:t>ICB</w:t>
      </w:r>
      <w:r>
        <w:t xml:space="preserve">’s behalf and extends to other providers and delivery partners in the </w:t>
      </w:r>
      <w:r w:rsidR="00C41B24">
        <w:t>AACC</w:t>
      </w:r>
      <w:r>
        <w:t xml:space="preserve"> landscape</w:t>
      </w:r>
      <w:r w:rsidR="00C41B24">
        <w:t xml:space="preserve"> - </w:t>
      </w:r>
      <w:r>
        <w:t xml:space="preserve">e.g. </w:t>
      </w:r>
      <w:r w:rsidR="00AD651B">
        <w:t xml:space="preserve">LAs, Education, </w:t>
      </w:r>
      <w:r>
        <w:t>acute trusts and care homes</w:t>
      </w:r>
      <w:r w:rsidR="004E1060">
        <w:t>/residential schools</w:t>
      </w:r>
      <w:r>
        <w:t xml:space="preserve">. </w:t>
      </w:r>
    </w:p>
    <w:p w14:paraId="59E4D7E4" w14:textId="16585C6E" w:rsidR="00AD7D10" w:rsidRDefault="00AD7D10" w:rsidP="00480B93">
      <w:pPr>
        <w:pStyle w:val="Style2"/>
        <w:ind w:left="1138" w:hanging="1138"/>
        <w:contextualSpacing w:val="0"/>
        <w:jc w:val="both"/>
      </w:pPr>
      <w:r>
        <w:t xml:space="preserve">There is clear line of sight at all times of how many </w:t>
      </w:r>
      <w:r w:rsidR="002148CE">
        <w:t>individual</w:t>
      </w:r>
      <w:r>
        <w:t xml:space="preserve">s are at each stage in the </w:t>
      </w:r>
      <w:r w:rsidR="00043C80">
        <w:t>AACC</w:t>
      </w:r>
      <w:r>
        <w:t xml:space="preserve"> pathway in order to effectively reallocate resources, as required, and maintain clear understanding of risks</w:t>
      </w:r>
      <w:r w:rsidR="00C41B24">
        <w:t>.</w:t>
      </w:r>
    </w:p>
    <w:p w14:paraId="44490B97" w14:textId="73C9C009" w:rsidR="001F71F6" w:rsidRPr="0015255F" w:rsidRDefault="00AD7D10" w:rsidP="001F71F6">
      <w:pPr>
        <w:pStyle w:val="Heading3"/>
      </w:pPr>
      <w:bookmarkStart w:id="53" w:name="_Toc110851935"/>
      <w:r>
        <w:t>Technology and Systems</w:t>
      </w:r>
      <w:bookmarkEnd w:id="53"/>
      <w:r w:rsidR="00043C80">
        <w:t xml:space="preserve"> </w:t>
      </w:r>
    </w:p>
    <w:p w14:paraId="77907885" w14:textId="58B9871B" w:rsidR="00A51A0F" w:rsidRDefault="00A51A0F" w:rsidP="00480B93">
      <w:pPr>
        <w:pStyle w:val="Style2"/>
        <w:ind w:left="1138" w:hanging="1138"/>
        <w:contextualSpacing w:val="0"/>
        <w:jc w:val="both"/>
      </w:pPr>
      <w:r>
        <w:t>The AACC service will work with software providers to develop f</w:t>
      </w:r>
      <w:r w:rsidR="00AD7D10">
        <w:t>ully interoperable caseload management software</w:t>
      </w:r>
      <w:r>
        <w:t xml:space="preserve"> for </w:t>
      </w:r>
      <w:r w:rsidR="00AD7D10">
        <w:t xml:space="preserve">use across the end-to-end </w:t>
      </w:r>
      <w:r w:rsidR="00C41B24">
        <w:t>AACC</w:t>
      </w:r>
      <w:r w:rsidR="00AD7D10">
        <w:t xml:space="preserve"> process,</w:t>
      </w:r>
      <w:r w:rsidR="00C41B24">
        <w:t xml:space="preserve"> which </w:t>
      </w:r>
      <w:r w:rsidR="00AD7D10">
        <w:t xml:space="preserve">facilitates a single source of the truth, enables data fluidity (i.e. all data flows), </w:t>
      </w:r>
      <w:r>
        <w:t xml:space="preserve">is </w:t>
      </w:r>
      <w:r w:rsidR="00AD7D10">
        <w:t xml:space="preserve">integrated with wider NHS systems, including but not limited to Shared Business Services, SPINE, Local Health and Care Records (LHCR), which fully meet the NHS digital, data and technology standards framework. </w:t>
      </w:r>
      <w:r>
        <w:t>This will remove any requirement for use of ad</w:t>
      </w:r>
      <w:r w:rsidR="00AD7D10">
        <w:t xml:space="preserve">ditional applications </w:t>
      </w:r>
      <w:r>
        <w:t>f</w:t>
      </w:r>
      <w:r w:rsidR="00AD7D10">
        <w:t xml:space="preserve">or </w:t>
      </w:r>
      <w:r w:rsidR="002148CE">
        <w:t>individual</w:t>
      </w:r>
      <w:r w:rsidR="00AD7D10">
        <w:t xml:space="preserve"> management, reporting, scheduling, finance, etc. </w:t>
      </w:r>
    </w:p>
    <w:p w14:paraId="608AC19B" w14:textId="6081027B" w:rsidR="00A51A0F" w:rsidRDefault="00AD7D10" w:rsidP="00480B93">
      <w:pPr>
        <w:pStyle w:val="Style2"/>
        <w:ind w:left="1138" w:hanging="1138"/>
        <w:contextualSpacing w:val="0"/>
        <w:jc w:val="both"/>
      </w:pPr>
      <w:r>
        <w:t xml:space="preserve">Notification of both upcoming and overdue assessments and reviews is </w:t>
      </w:r>
      <w:r w:rsidR="00A51A0F">
        <w:t xml:space="preserve">available </w:t>
      </w:r>
      <w:r>
        <w:t xml:space="preserve">live </w:t>
      </w:r>
      <w:r w:rsidR="00A51A0F">
        <w:t xml:space="preserve">within the system. Clerical procedures and scheduling are supported by the use of the caseload management database and / or other customisable software. </w:t>
      </w:r>
      <w:r w:rsidR="002148CE">
        <w:t>Individual</w:t>
      </w:r>
      <w:r>
        <w:t>s requiring assessment or review are flagged by the integrated technology platform through the production of report</w:t>
      </w:r>
      <w:r w:rsidR="00A51A0F">
        <w:t>s that can be run at any time</w:t>
      </w:r>
      <w:r>
        <w:t xml:space="preserve"> and </w:t>
      </w:r>
      <w:r w:rsidR="00A51A0F">
        <w:t>demonstrate progress in p</w:t>
      </w:r>
      <w:r>
        <w:t>a</w:t>
      </w:r>
      <w:r w:rsidR="00A51A0F">
        <w:t xml:space="preserve">thway against a </w:t>
      </w:r>
      <w:r>
        <w:t xml:space="preserve">countdown clock. </w:t>
      </w:r>
    </w:p>
    <w:p w14:paraId="0EA3FF12" w14:textId="50490332" w:rsidR="00A51A0F" w:rsidRDefault="00A51A0F" w:rsidP="00480B93">
      <w:pPr>
        <w:pStyle w:val="Style2"/>
        <w:ind w:left="1138" w:hanging="1138"/>
        <w:contextualSpacing w:val="0"/>
        <w:jc w:val="both"/>
      </w:pPr>
      <w:r>
        <w:t>The AACC service will operate c</w:t>
      </w:r>
      <w:r w:rsidR="00AD7D10">
        <w:t xml:space="preserve">omprehensive digitisation of clinical administrative procedures. </w:t>
      </w:r>
      <w:r>
        <w:t>A</w:t>
      </w:r>
      <w:r w:rsidR="00AD7D10">
        <w:t xml:space="preserve">ssessment forms </w:t>
      </w:r>
      <w:r>
        <w:t xml:space="preserve">will </w:t>
      </w:r>
      <w:r w:rsidR="00AD7D10">
        <w:t xml:space="preserve">always </w:t>
      </w:r>
      <w:r>
        <w:t xml:space="preserve">be </w:t>
      </w:r>
      <w:r w:rsidR="00AD7D10">
        <w:t xml:space="preserve">completed electronically at the time of assessment and there is facility to capture information typed into data fields for direct upload and reviews. </w:t>
      </w:r>
    </w:p>
    <w:p w14:paraId="5CB8AD80" w14:textId="1C0C7F31" w:rsidR="00A51A0F" w:rsidRDefault="00AD7D10" w:rsidP="00480B93">
      <w:pPr>
        <w:pStyle w:val="Style2"/>
        <w:ind w:left="1138" w:hanging="1138"/>
        <w:contextualSpacing w:val="0"/>
        <w:jc w:val="both"/>
      </w:pPr>
      <w:r>
        <w:t xml:space="preserve">Equipment and technology to support remote working </w:t>
      </w:r>
      <w:r w:rsidR="00A51A0F">
        <w:t xml:space="preserve">over a secure connection, enabling access to </w:t>
      </w:r>
      <w:r w:rsidR="002148CE">
        <w:t>individual</w:t>
      </w:r>
      <w:r w:rsidR="00A51A0F">
        <w:t xml:space="preserve"> level data </w:t>
      </w:r>
      <w:r>
        <w:t xml:space="preserve">has been made widely available </w:t>
      </w:r>
      <w:r w:rsidR="00A51A0F">
        <w:t xml:space="preserve">to the AACC team </w:t>
      </w:r>
      <w:r>
        <w:t xml:space="preserve">and is </w:t>
      </w:r>
      <w:r w:rsidR="00A51A0F">
        <w:t xml:space="preserve">the default expectation.  </w:t>
      </w:r>
    </w:p>
    <w:p w14:paraId="77FF121E" w14:textId="26782F1A" w:rsidR="00A51A0F" w:rsidRDefault="00AD7D10" w:rsidP="00480B93">
      <w:pPr>
        <w:pStyle w:val="Style2"/>
        <w:ind w:left="1138" w:hanging="1138"/>
        <w:contextualSpacing w:val="0"/>
        <w:jc w:val="both"/>
      </w:pPr>
      <w:r>
        <w:t xml:space="preserve">Workflow(s) are fully structured and/or addressed using software, with assessments carried out electronically and automatically directed to the relevant team member. </w:t>
      </w:r>
    </w:p>
    <w:p w14:paraId="13B9B747" w14:textId="6BB3CA0A" w:rsidR="00A51A0F" w:rsidRDefault="00AD7D10" w:rsidP="00480B93">
      <w:pPr>
        <w:pStyle w:val="Style2"/>
        <w:ind w:left="1138" w:hanging="1138"/>
        <w:contextualSpacing w:val="0"/>
        <w:jc w:val="both"/>
      </w:pPr>
      <w:r>
        <w:t xml:space="preserve">Invoice processing and validation is supported by a high level of automation with governance workflows built in. </w:t>
      </w:r>
    </w:p>
    <w:p w14:paraId="058FED91" w14:textId="6B5ADA6A" w:rsidR="00A51A0F" w:rsidRDefault="00A51A0F" w:rsidP="00480B93">
      <w:pPr>
        <w:pStyle w:val="Style2"/>
        <w:ind w:left="1138" w:hanging="1138"/>
        <w:contextualSpacing w:val="0"/>
        <w:jc w:val="both"/>
      </w:pPr>
      <w:r>
        <w:t xml:space="preserve">Referrals </w:t>
      </w:r>
      <w:r w:rsidR="00AD7D10">
        <w:t>are submitted via a digital platform with quality control and mistake</w:t>
      </w:r>
      <w:r>
        <w:t>-</w:t>
      </w:r>
      <w:r w:rsidR="00AD7D10">
        <w:t xml:space="preserve">proofing at source. </w:t>
      </w:r>
    </w:p>
    <w:p w14:paraId="5F1249F4" w14:textId="1D9088F0" w:rsidR="00653C88" w:rsidRPr="00480B93" w:rsidRDefault="00A51A0F" w:rsidP="00480B93">
      <w:pPr>
        <w:pStyle w:val="Style2"/>
        <w:ind w:left="1138"/>
        <w:contextualSpacing w:val="0"/>
        <w:jc w:val="both"/>
      </w:pPr>
      <w:r>
        <w:t>The AACC service will work to develop a secure “</w:t>
      </w:r>
      <w:r w:rsidR="002148CE">
        <w:t>Individual</w:t>
      </w:r>
      <w:r>
        <w:t xml:space="preserve"> portal” to facilitate c</w:t>
      </w:r>
      <w:r w:rsidR="00AD7D10">
        <w:t xml:space="preserve">ommunications with </w:t>
      </w:r>
      <w:r w:rsidR="002148CE">
        <w:t>individual</w:t>
      </w:r>
      <w:r w:rsidR="00AD7D10">
        <w:t>s and famil</w:t>
      </w:r>
      <w:r>
        <w:t xml:space="preserve">ies, which when implemented will be the default method in use. </w:t>
      </w:r>
      <w:r w:rsidR="00653C88">
        <w:t>Use of t</w:t>
      </w:r>
      <w:r w:rsidR="00AD7D10">
        <w:t xml:space="preserve">elephone, paper and post </w:t>
      </w:r>
      <w:r w:rsidR="00653C88">
        <w:t xml:space="preserve">will be </w:t>
      </w:r>
      <w:r w:rsidR="00AD7D10">
        <w:t xml:space="preserve">by exception at request of the </w:t>
      </w:r>
      <w:r w:rsidR="002148CE">
        <w:t>individual</w:t>
      </w:r>
      <w:r w:rsidR="00653C88">
        <w:t>/representative</w:t>
      </w:r>
      <w:r w:rsidR="00AD7D10">
        <w:t xml:space="preserve"> only.</w:t>
      </w:r>
    </w:p>
    <w:p w14:paraId="77FED198" w14:textId="16247079" w:rsidR="001F71F6" w:rsidRPr="0015255F" w:rsidRDefault="00AD7D10" w:rsidP="001F71F6">
      <w:pPr>
        <w:pStyle w:val="Heading3"/>
      </w:pPr>
      <w:bookmarkStart w:id="54" w:name="_Toc110851936"/>
      <w:r>
        <w:t>Data and Information</w:t>
      </w:r>
      <w:bookmarkEnd w:id="54"/>
    </w:p>
    <w:p w14:paraId="757AFC5A" w14:textId="2A18F14A" w:rsidR="00AD7D10" w:rsidRDefault="00AD7D10" w:rsidP="00480B93">
      <w:pPr>
        <w:pStyle w:val="Style2"/>
        <w:ind w:left="1138"/>
        <w:contextualSpacing w:val="0"/>
        <w:jc w:val="both"/>
      </w:pPr>
      <w:r>
        <w:t xml:space="preserve">There is a central repository of information that integrates all data across the end-to-end </w:t>
      </w:r>
      <w:r w:rsidR="00380D2A">
        <w:t>AACC</w:t>
      </w:r>
      <w:r>
        <w:t xml:space="preserve"> process, is actively maintained and audited for data quality</w:t>
      </w:r>
      <w:r w:rsidR="00653C88">
        <w:t xml:space="preserve"> and </w:t>
      </w:r>
      <w:r>
        <w:t>is accessible remotely with a user</w:t>
      </w:r>
      <w:r w:rsidR="007D5825">
        <w:t>-</w:t>
      </w:r>
      <w:r>
        <w:t xml:space="preserve">friendly drill-down interface. </w:t>
      </w:r>
    </w:p>
    <w:p w14:paraId="70446FE7" w14:textId="19ED6A78" w:rsidR="00653C88" w:rsidRDefault="00653C88" w:rsidP="00480B93">
      <w:pPr>
        <w:pStyle w:val="Style2"/>
        <w:ind w:left="1138"/>
        <w:contextualSpacing w:val="0"/>
        <w:jc w:val="both"/>
      </w:pPr>
      <w:r>
        <w:t>The AACC service will implement a</w:t>
      </w:r>
      <w:r w:rsidR="00AD7D10">
        <w:t xml:space="preserve"> regularly refreshed data strategy</w:t>
      </w:r>
      <w:r>
        <w:t xml:space="preserve">, </w:t>
      </w:r>
      <w:r w:rsidR="00AD7D10">
        <w:t xml:space="preserve">which spans the core processes and regularly informs the development of the service as a whole. There is clear governance and high practitioner engagement across the </w:t>
      </w:r>
      <w:r w:rsidR="00D9794C">
        <w:t>ICB</w:t>
      </w:r>
      <w:r w:rsidR="00AD7D10">
        <w:t xml:space="preserve"> &amp; providers. </w:t>
      </w:r>
    </w:p>
    <w:p w14:paraId="5B5CC819" w14:textId="441A351E" w:rsidR="00653C88" w:rsidRDefault="00AD7D10" w:rsidP="00480B93">
      <w:pPr>
        <w:pStyle w:val="Style2"/>
        <w:ind w:left="1138"/>
        <w:contextualSpacing w:val="0"/>
        <w:jc w:val="both"/>
      </w:pPr>
      <w:r>
        <w:t xml:space="preserve">A data dictionary </w:t>
      </w:r>
      <w:r w:rsidR="00653C88">
        <w:t>wil</w:t>
      </w:r>
      <w:r w:rsidR="00630105">
        <w:t>l</w:t>
      </w:r>
      <w:r w:rsidR="00653C88">
        <w:t xml:space="preserve"> be </w:t>
      </w:r>
      <w:r>
        <w:t xml:space="preserve">defined, shared and maintained across the </w:t>
      </w:r>
      <w:r w:rsidR="00380D2A">
        <w:t>AACC</w:t>
      </w:r>
      <w:r>
        <w:t xml:space="preserve"> team. External sources of data to </w:t>
      </w:r>
      <w:r w:rsidR="00380D2A">
        <w:t>AACC</w:t>
      </w:r>
      <w:r>
        <w:t xml:space="preserve"> are included into the data sets to enhance insights, e.g. local population health data. </w:t>
      </w:r>
    </w:p>
    <w:p w14:paraId="03F58AE6" w14:textId="3C748A3A" w:rsidR="00653C88" w:rsidRDefault="00AD7D10" w:rsidP="00480B93">
      <w:pPr>
        <w:pStyle w:val="Style2"/>
        <w:ind w:left="1138"/>
        <w:contextualSpacing w:val="0"/>
        <w:jc w:val="both"/>
      </w:pPr>
      <w:r>
        <w:t>Information and insights are visualised and monitored electronically through interactive dashboards; the</w:t>
      </w:r>
      <w:r w:rsidR="00630105">
        <w:t>se</w:t>
      </w:r>
      <w:r>
        <w:t xml:space="preserve"> are available to all </w:t>
      </w:r>
      <w:r w:rsidR="00630105">
        <w:t>AACC</w:t>
      </w:r>
      <w:r>
        <w:t xml:space="preserve"> teams across the </w:t>
      </w:r>
      <w:r w:rsidR="00630105">
        <w:t xml:space="preserve">pathway </w:t>
      </w:r>
      <w:r>
        <w:t>and can be customised to suit the need</w:t>
      </w:r>
      <w:r w:rsidR="00630105">
        <w:t>s</w:t>
      </w:r>
      <w:r>
        <w:t xml:space="preserve"> of specific teams and replace manual reporting where possible. </w:t>
      </w:r>
    </w:p>
    <w:p w14:paraId="7F0C8932" w14:textId="5DE7B41A" w:rsidR="00653C88" w:rsidRDefault="002148CE" w:rsidP="00480B93">
      <w:pPr>
        <w:pStyle w:val="Style2"/>
        <w:ind w:left="1138"/>
        <w:contextualSpacing w:val="0"/>
        <w:jc w:val="both"/>
      </w:pPr>
      <w:r>
        <w:t>Individual</w:t>
      </w:r>
      <w:r w:rsidR="00AD7D10">
        <w:t xml:space="preserve">-level data updates from providers to the </w:t>
      </w:r>
      <w:r w:rsidR="00D9794C">
        <w:t>ICB</w:t>
      </w:r>
      <w:r w:rsidR="00AD7D10">
        <w:t xml:space="preserve"> are rarely subject to delay. </w:t>
      </w:r>
      <w:r w:rsidR="00380D2A">
        <w:t>AACC</w:t>
      </w:r>
      <w:r w:rsidR="00AD7D10">
        <w:t xml:space="preserve"> contractual and </w:t>
      </w:r>
      <w:r>
        <w:t>individual</w:t>
      </w:r>
      <w:r w:rsidR="00AD7D10">
        <w:t xml:space="preserve"> data is updated without time lags so that financial information is accurate. </w:t>
      </w:r>
    </w:p>
    <w:p w14:paraId="00440670" w14:textId="1CF52BE7" w:rsidR="00653C88" w:rsidRDefault="00AD7D10" w:rsidP="00480B93">
      <w:pPr>
        <w:pStyle w:val="Style2"/>
        <w:ind w:left="1138"/>
        <w:contextualSpacing w:val="0"/>
        <w:jc w:val="both"/>
      </w:pPr>
      <w:r>
        <w:t xml:space="preserve">Regular data quality checks are in place as a matter of routine. </w:t>
      </w:r>
    </w:p>
    <w:p w14:paraId="2427EF40" w14:textId="04A20A53" w:rsidR="00653C88" w:rsidRDefault="00AD7D10" w:rsidP="00480B93">
      <w:pPr>
        <w:pStyle w:val="Style2"/>
        <w:ind w:left="1138"/>
        <w:contextualSpacing w:val="0"/>
        <w:jc w:val="both"/>
      </w:pPr>
      <w:r>
        <w:t>Strategic predictive demand analytics and financial forecasting is employed and utilised to inform operating decisions</w:t>
      </w:r>
      <w:r w:rsidR="00630105">
        <w:t>.</w:t>
      </w:r>
      <w:r>
        <w:t xml:space="preserve"> </w:t>
      </w:r>
    </w:p>
    <w:p w14:paraId="0A300CF3" w14:textId="5772B79E" w:rsidR="00AD7D10" w:rsidRDefault="00043C80" w:rsidP="00480B93">
      <w:pPr>
        <w:pStyle w:val="Style2"/>
        <w:ind w:left="1138"/>
        <w:contextualSpacing w:val="0"/>
        <w:jc w:val="both"/>
      </w:pPr>
      <w:r>
        <w:t>AACC</w:t>
      </w:r>
      <w:r w:rsidR="00AD7D10">
        <w:t xml:space="preserve"> insights are shared between </w:t>
      </w:r>
      <w:r w:rsidR="00653C88">
        <w:t xml:space="preserve">Place-based Alliances </w:t>
      </w:r>
      <w:r w:rsidR="00AD7D10">
        <w:t xml:space="preserve">via </w:t>
      </w:r>
      <w:r w:rsidR="00653C88">
        <w:t xml:space="preserve">the </w:t>
      </w:r>
      <w:r w:rsidR="00AD7D10">
        <w:t>central</w:t>
      </w:r>
      <w:r w:rsidR="00653C88">
        <w:t xml:space="preserve"> Business Unit </w:t>
      </w:r>
      <w:r w:rsidR="00AD7D10">
        <w:t>repository to share best practices and lessons learnt.</w:t>
      </w:r>
    </w:p>
    <w:p w14:paraId="755C221F" w14:textId="77777777" w:rsidR="00653C88" w:rsidRPr="007E2B59" w:rsidRDefault="00653C88" w:rsidP="00653C88">
      <w:pPr>
        <w:ind w:left="0"/>
        <w:rPr>
          <w:b/>
          <w:bCs/>
        </w:rPr>
      </w:pPr>
    </w:p>
    <w:p w14:paraId="0DBD5CB5" w14:textId="536B96D5" w:rsidR="001F71F6" w:rsidRPr="0015255F" w:rsidRDefault="008F04F0" w:rsidP="001F71F6">
      <w:pPr>
        <w:pStyle w:val="Heading3"/>
      </w:pPr>
      <w:bookmarkStart w:id="55" w:name="_Hlk95456993"/>
      <w:bookmarkStart w:id="56" w:name="_Toc110851937"/>
      <w:r>
        <w:t>Invoicing and Payment</w:t>
      </w:r>
      <w:bookmarkEnd w:id="56"/>
    </w:p>
    <w:p w14:paraId="030281E2" w14:textId="61554F4C" w:rsidR="00BB434D" w:rsidRDefault="00BB434D" w:rsidP="00480B93">
      <w:pPr>
        <w:pStyle w:val="Style2"/>
        <w:ind w:left="1138"/>
        <w:contextualSpacing w:val="0"/>
        <w:jc w:val="both"/>
      </w:pPr>
      <w:r>
        <w:t xml:space="preserve">Invoices from domiciliary care providers must be accompanied by evidence in the form of timesheets confirming staff attendance, which will be validated by the ICB against the funding agreement </w:t>
      </w:r>
      <w:r w:rsidR="00EF3ABB">
        <w:t xml:space="preserve">/ contract </w:t>
      </w:r>
      <w:r>
        <w:t xml:space="preserve">prior to payment being approved. </w:t>
      </w:r>
    </w:p>
    <w:p w14:paraId="22914A32" w14:textId="20D004AE" w:rsidR="00BB434D" w:rsidRPr="00480B93" w:rsidRDefault="00AC0034" w:rsidP="00480B93">
      <w:pPr>
        <w:pStyle w:val="Style2"/>
        <w:ind w:left="1138"/>
        <w:contextualSpacing w:val="0"/>
        <w:jc w:val="both"/>
      </w:pPr>
      <w:r w:rsidRPr="00480B93">
        <w:t>Invoices should include the individual unique individual identifier number to facilitate payment process. Invoices will be rejected at source where GDPR is deemed to have been breached.</w:t>
      </w:r>
    </w:p>
    <w:bookmarkEnd w:id="55"/>
    <w:p w14:paraId="053BDBAA" w14:textId="67505A87" w:rsidR="00BB434D" w:rsidRPr="00480B93" w:rsidRDefault="00E52432" w:rsidP="00480B93">
      <w:pPr>
        <w:pStyle w:val="Style2"/>
        <w:ind w:left="1138"/>
        <w:contextualSpacing w:val="0"/>
        <w:jc w:val="both"/>
      </w:pPr>
      <w:r w:rsidRPr="00480B93">
        <w:t xml:space="preserve">Providers are expected to have due regard to the ICB’s policy regarding </w:t>
      </w:r>
      <w:r w:rsidR="00FC1B55" w:rsidRPr="00480B93">
        <w:t xml:space="preserve">Initiation, </w:t>
      </w:r>
      <w:r w:rsidR="00E342E6" w:rsidRPr="00480B93">
        <w:t xml:space="preserve">Suspension and </w:t>
      </w:r>
      <w:r w:rsidR="007D5825" w:rsidRPr="00480B93">
        <w:t>Cessation of Funding</w:t>
      </w:r>
      <w:r w:rsidR="00BB434D" w:rsidRPr="00480B93">
        <w:t xml:space="preserve"> </w:t>
      </w:r>
      <w:r w:rsidR="00E342E6" w:rsidRPr="00480B93">
        <w:t>(6.</w:t>
      </w:r>
      <w:r w:rsidR="00FC1B55" w:rsidRPr="00480B93">
        <w:t>24</w:t>
      </w:r>
      <w:r w:rsidR="00E342E6" w:rsidRPr="00480B93">
        <w:t xml:space="preserve">) </w:t>
      </w:r>
      <w:r w:rsidRPr="00480B93">
        <w:t>when an individual in receipt of funding is admitted to hospital, dies, or is not in receipt of the commissioned package of care for any other reason</w:t>
      </w:r>
      <w:r w:rsidR="00E342E6" w:rsidRPr="00480B93">
        <w:t>. F</w:t>
      </w:r>
      <w:r w:rsidRPr="00480B93">
        <w:t xml:space="preserve">or example: an individual in a residential placement going to stay with relatives </w:t>
      </w:r>
      <w:r w:rsidR="00E342E6" w:rsidRPr="00480B93">
        <w:t>for a period of time without care provision moving with them.</w:t>
      </w:r>
      <w:r w:rsidRPr="00480B93">
        <w:t xml:space="preserve"> </w:t>
      </w:r>
      <w:r w:rsidR="00E342E6" w:rsidRPr="00480B93">
        <w:t xml:space="preserve">The reduction or suspension of fees paid to the provider will be negotiated accordingly and revised funding agreements issued for that time period. </w:t>
      </w:r>
    </w:p>
    <w:p w14:paraId="20C15211" w14:textId="10ADECA6" w:rsidR="00D1473A" w:rsidRPr="00480B93" w:rsidRDefault="00D1473A" w:rsidP="00480B93">
      <w:pPr>
        <w:pStyle w:val="Style2"/>
        <w:ind w:left="1138"/>
        <w:contextualSpacing w:val="0"/>
        <w:jc w:val="both"/>
      </w:pPr>
      <w:r w:rsidRPr="00480B93">
        <w:t xml:space="preserve">Robust financial arrangements between the ICB, Local Authorities and providers will be facilitated through ‘Care Package Agreements’ and quarterly financial monitoring. </w:t>
      </w:r>
    </w:p>
    <w:p w14:paraId="492E7908" w14:textId="7B5C5C97" w:rsidR="00185326" w:rsidRDefault="00AC0034" w:rsidP="00480B93">
      <w:pPr>
        <w:pStyle w:val="Style2"/>
        <w:ind w:left="1138"/>
        <w:contextualSpacing w:val="0"/>
        <w:jc w:val="both"/>
      </w:pPr>
      <w:r>
        <w:t xml:space="preserve">The ICB will ensure that invoices that meet the required standards are processed and paid in a timely manner in scheduled payment runs. </w:t>
      </w:r>
    </w:p>
    <w:p w14:paraId="1E2A9894" w14:textId="569A9CA6" w:rsidR="001F71F6" w:rsidRPr="0015255F" w:rsidRDefault="008F04F0" w:rsidP="001F71F6">
      <w:pPr>
        <w:pStyle w:val="Heading3"/>
      </w:pPr>
      <w:bookmarkStart w:id="57" w:name="_Toc110851938"/>
      <w:r>
        <w:t>Market Management</w:t>
      </w:r>
      <w:bookmarkEnd w:id="57"/>
      <w:r>
        <w:t xml:space="preserve"> </w:t>
      </w:r>
    </w:p>
    <w:p w14:paraId="069161DF" w14:textId="7FF010CE" w:rsidR="00945817" w:rsidRDefault="008F04F0" w:rsidP="00480B93">
      <w:pPr>
        <w:pStyle w:val="Style2"/>
        <w:ind w:left="1138"/>
        <w:contextualSpacing w:val="0"/>
        <w:jc w:val="both"/>
      </w:pPr>
      <w:r>
        <w:t xml:space="preserve">Proactive and long-term </w:t>
      </w:r>
      <w:r w:rsidR="00043C80">
        <w:t xml:space="preserve">support and </w:t>
      </w:r>
      <w:r>
        <w:t>management of the provider market, including strategic commissioning and procurement</w:t>
      </w:r>
      <w:r w:rsidR="00945817">
        <w:t xml:space="preserve"> will be in place via a </w:t>
      </w:r>
      <w:r>
        <w:t>clearly articulated strategic commissioning plan</w:t>
      </w:r>
      <w:r w:rsidR="00945817">
        <w:t xml:space="preserve">, which is </w:t>
      </w:r>
      <w:r>
        <w:t xml:space="preserve">understood by commissioners, clinicians, suppliers and </w:t>
      </w:r>
      <w:r w:rsidR="002148CE">
        <w:t>individual</w:t>
      </w:r>
      <w:r>
        <w:t xml:space="preserve">s. </w:t>
      </w:r>
    </w:p>
    <w:p w14:paraId="3A9A199D" w14:textId="37C1AEAA" w:rsidR="00945817" w:rsidRDefault="008F04F0" w:rsidP="00480B93">
      <w:pPr>
        <w:pStyle w:val="Style2"/>
        <w:ind w:left="1138"/>
        <w:contextualSpacing w:val="0"/>
        <w:jc w:val="both"/>
      </w:pPr>
      <w:r>
        <w:t xml:space="preserve">Clear contracting routes </w:t>
      </w:r>
      <w:r w:rsidR="00945817">
        <w:t xml:space="preserve">will be in place </w:t>
      </w:r>
      <w:r>
        <w:t>for all providers</w:t>
      </w:r>
      <w:r w:rsidR="000B5141">
        <w:t>, with up</w:t>
      </w:r>
      <w:r w:rsidR="00F867A0">
        <w:t>-</w:t>
      </w:r>
      <w:r w:rsidR="000B5141">
        <w:t>to</w:t>
      </w:r>
      <w:r w:rsidR="00F867A0">
        <w:t>-</w:t>
      </w:r>
      <w:r w:rsidR="000B5141">
        <w:t>date care specifications</w:t>
      </w:r>
      <w:r w:rsidR="00945817">
        <w:t>. With the support of the ICB’s Contracting Team, the AACC service will ensure that ‘spot purchasing’ outside of pre-agreed contracting routes is used for exceptional cases only</w:t>
      </w:r>
      <w:r w:rsidR="00043C80">
        <w:t xml:space="preserve"> which will be reviewed in accordance with AACC policy</w:t>
      </w:r>
      <w:r w:rsidR="00F867A0">
        <w:t>.</w:t>
      </w:r>
      <w:r>
        <w:t xml:space="preserve"> </w:t>
      </w:r>
    </w:p>
    <w:p w14:paraId="449EB0B8" w14:textId="1C56851B" w:rsidR="000B5141" w:rsidRDefault="002F7565" w:rsidP="00480B93">
      <w:pPr>
        <w:pStyle w:val="Style2"/>
        <w:ind w:left="1138"/>
        <w:contextualSpacing w:val="0"/>
        <w:jc w:val="both"/>
      </w:pPr>
      <w:r>
        <w:t>Comprehensive understanding and benchmarking of prices paid in the market will inform provider discussions and agree a fair price of care</w:t>
      </w:r>
      <w:r w:rsidR="00F867A0">
        <w:t>,</w:t>
      </w:r>
      <w:r>
        <w:t xml:space="preserve"> by care group, with collaborative commissioning across neighbouring ICS and LAs, where appropriate. P</w:t>
      </w:r>
      <w:r w:rsidR="000B5141">
        <w:t xml:space="preserve">ricing and quality will be benchmarked and prices for care and </w:t>
      </w:r>
      <w:r>
        <w:t>a</w:t>
      </w:r>
      <w:r w:rsidR="000B5141">
        <w:t>ccommodation negotiated with providers, using a common pricing strategy agreed with LA</w:t>
      </w:r>
      <w:r w:rsidR="007D5825">
        <w:t xml:space="preserve"> </w:t>
      </w:r>
      <w:r w:rsidR="000B5141">
        <w:t xml:space="preserve">partners.  </w:t>
      </w:r>
    </w:p>
    <w:p w14:paraId="41069805" w14:textId="0D8C0544" w:rsidR="002F7565" w:rsidRDefault="002F7565" w:rsidP="00480B93">
      <w:pPr>
        <w:pStyle w:val="Style2"/>
        <w:ind w:left="1138"/>
        <w:contextualSpacing w:val="0"/>
        <w:jc w:val="both"/>
      </w:pPr>
      <w:r>
        <w:t>The AACC service will u</w:t>
      </w:r>
      <w:r w:rsidR="008F04F0">
        <w:t>nderstand</w:t>
      </w:r>
      <w:r>
        <w:t xml:space="preserve"> the </w:t>
      </w:r>
      <w:r w:rsidR="008F04F0">
        <w:t>long and short</w:t>
      </w:r>
      <w:r w:rsidR="00871263">
        <w:t>-</w:t>
      </w:r>
      <w:r w:rsidR="008F04F0">
        <w:t xml:space="preserve">term demand for </w:t>
      </w:r>
      <w:r>
        <w:t>AACC</w:t>
      </w:r>
      <w:r w:rsidR="008F04F0">
        <w:t xml:space="preserve"> and put plans in place to address any gaps. </w:t>
      </w:r>
      <w:r>
        <w:t>L</w:t>
      </w:r>
      <w:r w:rsidR="008F04F0">
        <w:t>ocal market capacity, pricing and drivers affecting this</w:t>
      </w:r>
      <w:r>
        <w:t xml:space="preserve"> are understood and f</w:t>
      </w:r>
      <w:r w:rsidR="008F04F0">
        <w:t xml:space="preserve">orecasting </w:t>
      </w:r>
      <w:r>
        <w:t xml:space="preserve">is </w:t>
      </w:r>
      <w:r w:rsidR="008F04F0">
        <w:t xml:space="preserve">undertaken for long term </w:t>
      </w:r>
      <w:r>
        <w:t>AACC</w:t>
      </w:r>
      <w:r w:rsidR="008F04F0">
        <w:t xml:space="preserve"> demand to inform capacity planning and engagement with the market to address gaps across cohorts. Plan</w:t>
      </w:r>
      <w:r>
        <w:t>s are implem</w:t>
      </w:r>
      <w:r w:rsidR="008F04F0">
        <w:t>ented to mitigate risks</w:t>
      </w:r>
      <w:r>
        <w:t>, including contingency plans to mitigate risk of market failure and home closure</w:t>
      </w:r>
      <w:r w:rsidR="00871263">
        <w:t xml:space="preserve">, which </w:t>
      </w:r>
      <w:r>
        <w:t xml:space="preserve">have been proactively tested, with learning applied. All relevant practitioners understand and follow </w:t>
      </w:r>
      <w:r w:rsidR="00871263">
        <w:t xml:space="preserve">these </w:t>
      </w:r>
      <w:r>
        <w:t>plans.</w:t>
      </w:r>
    </w:p>
    <w:p w14:paraId="1DC3567B" w14:textId="4FB2BEEB" w:rsidR="008F04F0" w:rsidRDefault="008F04F0" w:rsidP="00480B93">
      <w:pPr>
        <w:pStyle w:val="Style2"/>
        <w:ind w:left="1138"/>
        <w:contextualSpacing w:val="0"/>
        <w:jc w:val="both"/>
      </w:pPr>
      <w:r>
        <w:t xml:space="preserve">A market engagement plan </w:t>
      </w:r>
      <w:r w:rsidR="002F7565">
        <w:t>will be</w:t>
      </w:r>
      <w:r>
        <w:t xml:space="preserve"> implemented to engage the market to proactively communicate and receive feedback in a structured way and to ensure consistent messaging across </w:t>
      </w:r>
      <w:r w:rsidR="002F7565">
        <w:t>the ICS, including LAs</w:t>
      </w:r>
      <w:r>
        <w:t>.</w:t>
      </w:r>
    </w:p>
    <w:p w14:paraId="69D97596" w14:textId="17532693" w:rsidR="008F04F0" w:rsidRPr="00480B93" w:rsidRDefault="00871263" w:rsidP="00480B93">
      <w:pPr>
        <w:pStyle w:val="Style2"/>
        <w:ind w:left="1138"/>
        <w:contextualSpacing w:val="0"/>
        <w:jc w:val="both"/>
      </w:pPr>
      <w:r>
        <w:t>The AACC service will develop a c</w:t>
      </w:r>
      <w:r w:rsidR="008F04F0">
        <w:t xml:space="preserve">omprehensive understanding and active combined use of data for all </w:t>
      </w:r>
      <w:r w:rsidR="007D5825">
        <w:t>ICB</w:t>
      </w:r>
      <w:r w:rsidR="008F04F0">
        <w:t xml:space="preserve"> and LA Commissioned Services</w:t>
      </w:r>
      <w:r>
        <w:t xml:space="preserve">, to ensure that </w:t>
      </w:r>
      <w:r w:rsidR="007D5825">
        <w:t>AACC-c</w:t>
      </w:r>
      <w:r w:rsidR="008F04F0">
        <w:t xml:space="preserve">ommissioned </w:t>
      </w:r>
      <w:r w:rsidR="007D5825">
        <w:t>s</w:t>
      </w:r>
      <w:r w:rsidR="008F04F0">
        <w:t>ervices are a blended mix of Population</w:t>
      </w:r>
      <w:r w:rsidR="007D5825">
        <w:t>-</w:t>
      </w:r>
      <w:r w:rsidR="008F04F0">
        <w:t xml:space="preserve">Based (at scale) and individualised </w:t>
      </w:r>
      <w:r w:rsidR="007D5825">
        <w:t>c</w:t>
      </w:r>
      <w:r w:rsidR="008F04F0">
        <w:t>ommissioned models that are sustainable and meet the needs of the individual and the local population. There is a clear and active engagement plan to share and receive feedback on integrated commissioning inten</w:t>
      </w:r>
      <w:r w:rsidR="007D5825">
        <w:t>t</w:t>
      </w:r>
      <w:r w:rsidR="008F04F0">
        <w:t>ions from stakeholders</w:t>
      </w:r>
    </w:p>
    <w:p w14:paraId="506778FC" w14:textId="6B64FC6E" w:rsidR="00871263" w:rsidRPr="008F04F0" w:rsidRDefault="00871263" w:rsidP="00871263">
      <w:pPr>
        <w:pStyle w:val="Heading2"/>
        <w:numPr>
          <w:ilvl w:val="0"/>
          <w:numId w:val="0"/>
        </w:numPr>
        <w:ind w:left="1134"/>
      </w:pPr>
      <w:bookmarkStart w:id="58" w:name="_Toc110851939"/>
      <w:r>
        <w:t>Process (6.</w:t>
      </w:r>
      <w:r w:rsidR="005B7E45">
        <w:t>10</w:t>
      </w:r>
      <w:r>
        <w:t xml:space="preserve"> - 6.</w:t>
      </w:r>
      <w:r w:rsidR="00927636">
        <w:t>28</w:t>
      </w:r>
      <w:r>
        <w:t>)</w:t>
      </w:r>
      <w:bookmarkEnd w:id="58"/>
      <w:r>
        <w:t xml:space="preserve"> </w:t>
      </w:r>
    </w:p>
    <w:p w14:paraId="51A08037" w14:textId="00C42D16" w:rsidR="00A50152" w:rsidRDefault="00A50152" w:rsidP="001F71F6">
      <w:pPr>
        <w:pStyle w:val="Heading3"/>
      </w:pPr>
      <w:bookmarkStart w:id="59" w:name="_Toc110851940"/>
      <w:r>
        <w:t>Consent</w:t>
      </w:r>
      <w:r w:rsidR="00061605">
        <w:t xml:space="preserve">, </w:t>
      </w:r>
      <w:r w:rsidR="00927636">
        <w:t xml:space="preserve">Mental Capacity, </w:t>
      </w:r>
      <w:r w:rsidR="00D41399">
        <w:t xml:space="preserve">Safeguarding, </w:t>
      </w:r>
      <w:r w:rsidR="00061605">
        <w:t>and Deprivation of Liberty Safeguards (DoLS)</w:t>
      </w:r>
      <w:bookmarkEnd w:id="59"/>
    </w:p>
    <w:p w14:paraId="77894516" w14:textId="2B4D3DBE" w:rsidR="00D41399" w:rsidRPr="00955E43" w:rsidRDefault="00D41399" w:rsidP="00955E43">
      <w:pPr>
        <w:pStyle w:val="Style2"/>
        <w:ind w:left="1138"/>
        <w:contextualSpacing w:val="0"/>
        <w:jc w:val="both"/>
      </w:pPr>
      <w:r w:rsidRPr="00955E43">
        <w:t xml:space="preserve">Assessment of </w:t>
      </w:r>
      <w:r w:rsidR="00043C80" w:rsidRPr="00955E43">
        <w:t xml:space="preserve">AACC </w:t>
      </w:r>
      <w:r w:rsidR="002148CE" w:rsidRPr="00955E43">
        <w:t>individual</w:t>
      </w:r>
      <w:r w:rsidR="00043C80" w:rsidRPr="00955E43">
        <w:t>s</w:t>
      </w:r>
      <w:r w:rsidRPr="00955E43">
        <w:t xml:space="preserve"> should take account of safeguarding policy and legislation. The Children Act 2004 places a duty on all agencies to safeguard and promote the welfare of children and young people; it is noted that those children and adults who are being considered for continuing care may be especially vulnerable. The </w:t>
      </w:r>
      <w:r w:rsidR="00583543" w:rsidRPr="00955E43">
        <w:t xml:space="preserve">AACC service will operate with due regard to its duties to safeguard individuals and in accordance with the </w:t>
      </w:r>
      <w:r w:rsidRPr="00955E43">
        <w:t xml:space="preserve">overarching </w:t>
      </w:r>
      <w:r w:rsidR="00583543" w:rsidRPr="00955E43">
        <w:t xml:space="preserve">child and adult safeguarding policies of the </w:t>
      </w:r>
      <w:r w:rsidRPr="00955E43">
        <w:t xml:space="preserve">Southend, Essex and Thurrock </w:t>
      </w:r>
      <w:r w:rsidR="00583543" w:rsidRPr="00955E43">
        <w:t xml:space="preserve">(SET) Local Authorities: SET </w:t>
      </w:r>
      <w:r w:rsidRPr="00955E43">
        <w:t>Safeguarding and Child Protection Procedures</w:t>
      </w:r>
      <w:r w:rsidR="00583543" w:rsidRPr="00955E43">
        <w:t xml:space="preserve"> (</w:t>
      </w:r>
      <w:r w:rsidRPr="00955E43">
        <w:t>revised 2019</w:t>
      </w:r>
      <w:r w:rsidR="00583543" w:rsidRPr="00955E43">
        <w:t>) and SET Safeguarding Adult Guidelines (revised 2019)</w:t>
      </w:r>
      <w:r w:rsidRPr="00955E43">
        <w:t>.</w:t>
      </w:r>
    </w:p>
    <w:p w14:paraId="75693E13" w14:textId="4D467F29" w:rsidR="00F43F0A" w:rsidRDefault="00FA4BBC" w:rsidP="00955E43">
      <w:pPr>
        <w:pStyle w:val="Style2"/>
        <w:ind w:left="1138"/>
        <w:contextualSpacing w:val="0"/>
        <w:jc w:val="both"/>
      </w:pPr>
      <w:r>
        <w:t xml:space="preserve">All AACC activity relating to individuals must have valid consent, or if </w:t>
      </w:r>
      <w:r w:rsidR="00D22612">
        <w:t xml:space="preserve">an adult </w:t>
      </w:r>
      <w:r w:rsidR="00E5442E">
        <w:t>(age 16 and over)</w:t>
      </w:r>
      <w:r>
        <w:t xml:space="preserve"> lacks capacity, be </w:t>
      </w:r>
      <w:r w:rsidR="007F1A8F">
        <w:t xml:space="preserve">formally </w:t>
      </w:r>
      <w:r>
        <w:t>assessed to be in the</w:t>
      </w:r>
      <w:r w:rsidR="007F1A8F">
        <w:t>ir</w:t>
      </w:r>
      <w:r>
        <w:t xml:space="preserve"> best interests.</w:t>
      </w:r>
      <w:r w:rsidR="007F1A8F">
        <w:t xml:space="preserve"> </w:t>
      </w:r>
      <w:r w:rsidR="00F43F0A">
        <w:t>The AACC service follows the Southend, Essex and Thurrock Safeguarding Adults Boards Mental Capacity Act (MCA) and Deprivation of Liberty Safeguards (DoLS) Policy and Guidance.</w:t>
      </w:r>
    </w:p>
    <w:p w14:paraId="3BC93630" w14:textId="24891945" w:rsidR="00043C80" w:rsidRPr="00955E43" w:rsidRDefault="00043C80" w:rsidP="00955E43">
      <w:pPr>
        <w:pStyle w:val="Style2"/>
        <w:ind w:left="1138"/>
        <w:contextualSpacing w:val="0"/>
        <w:jc w:val="both"/>
      </w:pPr>
      <w:r w:rsidRPr="00955E43">
        <w:t xml:space="preserve">The consent of the child or young person, or their parents where necessary, must be sought. </w:t>
      </w:r>
      <w:r w:rsidR="00F35B41" w:rsidRPr="00955E43">
        <w:t xml:space="preserve">Children under the age of 16 can consent to their own treatment if they are believed to </w:t>
      </w:r>
      <w:r w:rsidR="00642116" w:rsidRPr="00955E43">
        <w:t>understand</w:t>
      </w:r>
      <w:r w:rsidRPr="00955E43">
        <w:t xml:space="preserve"> the risk and consequences that may arise from their decision</w:t>
      </w:r>
      <w:r w:rsidR="00564985" w:rsidRPr="00955E43">
        <w:t xml:space="preserve">. This is known as being Gillick competent. Otherwise, someone with parental responsibility can consent for them. Consideration must be given to a child/young person’s capacity to consent in accordance with Gillick competence to ensure that a child/ young person’s opinion and choice is not undermined. </w:t>
      </w:r>
      <w:r w:rsidRPr="00955E43">
        <w:t xml:space="preserve">It should be made explicit to the individual what this consent covers, including the sharing of personal information between different professionals and organisations involved in their care. </w:t>
      </w:r>
    </w:p>
    <w:p w14:paraId="3130B378" w14:textId="3A9B2995" w:rsidR="00043C80" w:rsidRPr="00955E43" w:rsidRDefault="00043C80" w:rsidP="00955E43">
      <w:pPr>
        <w:pStyle w:val="Style2"/>
        <w:ind w:left="1138"/>
        <w:contextualSpacing w:val="0"/>
        <w:jc w:val="both"/>
      </w:pPr>
      <w:r w:rsidRPr="00955E43">
        <w:t>Where there are concerns that an individual may have significant ongoing needs</w:t>
      </w:r>
      <w:r w:rsidR="005B7E45" w:rsidRPr="00955E43">
        <w:t xml:space="preserve"> a</w:t>
      </w:r>
      <w:r w:rsidRPr="00955E43">
        <w:t>nd</w:t>
      </w:r>
      <w:r w:rsidR="005B7E45" w:rsidRPr="00955E43">
        <w:t xml:space="preserve"> that the level of appropriate support could be affected by their decision not to give consent, the ICB should discuss with the LA the implications, as in any</w:t>
      </w:r>
      <w:r w:rsidR="00E56071" w:rsidRPr="00955E43">
        <w:t xml:space="preserve"> </w:t>
      </w:r>
      <w:r w:rsidRPr="00955E43">
        <w:t>other case where consent for treatment is withheld.</w:t>
      </w:r>
      <w:r w:rsidR="00066BC5" w:rsidRPr="00955E43">
        <w:t xml:space="preserve"> If the young person is 16 or over, the Mental Capacity Act may apply. </w:t>
      </w:r>
      <w:r w:rsidRPr="00955E43">
        <w:t xml:space="preserve"> </w:t>
      </w:r>
    </w:p>
    <w:p w14:paraId="52176CC6" w14:textId="6D9717D6" w:rsidR="00047CB7" w:rsidRDefault="00047CB7" w:rsidP="00955E43">
      <w:pPr>
        <w:pStyle w:val="Style2"/>
        <w:ind w:left="1138"/>
        <w:contextualSpacing w:val="0"/>
        <w:jc w:val="both"/>
      </w:pPr>
      <w:r>
        <w:t xml:space="preserve">If an individual does not consent to </w:t>
      </w:r>
      <w:r w:rsidR="00A41B14">
        <w:t xml:space="preserve">consideration of eligibility for NHS </w:t>
      </w:r>
      <w:r w:rsidR="00043C80">
        <w:t>AACC</w:t>
      </w:r>
      <w:r w:rsidR="00A41B14">
        <w:t>, the potential effects on the ability of the NHS and L</w:t>
      </w:r>
      <w:r w:rsidR="007D5825">
        <w:t>A</w:t>
      </w:r>
      <w:r w:rsidR="00A41B14">
        <w:t xml:space="preserve"> to provide appropriate services should be carefully explained to them. Where there are concerns that an individual may have significant on-going needs and the level of appropriate support could be affected by their decision not to consent, the appropriate way forward should be considered jointly at a senior management level in the </w:t>
      </w:r>
      <w:r w:rsidR="00D9794C">
        <w:t>ICB</w:t>
      </w:r>
      <w:r w:rsidR="00A41B14">
        <w:t xml:space="preserve"> and LA.</w:t>
      </w:r>
      <w:r>
        <w:t xml:space="preserve">  </w:t>
      </w:r>
    </w:p>
    <w:p w14:paraId="34505F83" w14:textId="587A5D5C" w:rsidR="007F1A8F" w:rsidRDefault="007F1A8F" w:rsidP="00955E43">
      <w:pPr>
        <w:pStyle w:val="Style2"/>
        <w:ind w:left="1138"/>
        <w:contextualSpacing w:val="0"/>
        <w:jc w:val="both"/>
      </w:pPr>
      <w:r>
        <w:t xml:space="preserve">Consent, where there is no indication of a concern over mental capacity, can be given </w:t>
      </w:r>
      <w:r w:rsidR="00043C80">
        <w:t xml:space="preserve">verbally </w:t>
      </w:r>
      <w:r>
        <w:t xml:space="preserve">or in writing. Written consent is preferred, as it enables the practitioner taking that consent to specify in writing exactly the parameters of the consent given and to have this agreed with the competent person’s signature or other mark. Where taken verbally, the practitioner should carefully document all information shared with the person to enable them to give valid informed consent </w:t>
      </w:r>
      <w:r w:rsidR="00D22612">
        <w:t xml:space="preserve">in a </w:t>
      </w:r>
      <w:r>
        <w:t>date</w:t>
      </w:r>
      <w:r w:rsidR="00D22612">
        <w:t>d/</w:t>
      </w:r>
      <w:r>
        <w:t>time</w:t>
      </w:r>
      <w:r w:rsidR="00D22612">
        <w:t>d,</w:t>
      </w:r>
      <w:r>
        <w:t xml:space="preserve"> signed entry in the </w:t>
      </w:r>
      <w:r w:rsidR="002148CE">
        <w:t>individual</w:t>
      </w:r>
      <w:r>
        <w:t xml:space="preserve"> record.  </w:t>
      </w:r>
    </w:p>
    <w:p w14:paraId="21A9C1B4" w14:textId="695C6C8F" w:rsidR="00D22612" w:rsidRDefault="007F1A8F" w:rsidP="00955E43">
      <w:pPr>
        <w:pStyle w:val="Style2"/>
        <w:ind w:left="1138"/>
        <w:contextualSpacing w:val="0"/>
        <w:jc w:val="both"/>
      </w:pPr>
      <w:r>
        <w:t xml:space="preserve">Where there is evidence that a person </w:t>
      </w:r>
      <w:r w:rsidR="00D22612">
        <w:t>being referred for assessment lacks capacity to consent to the assessment, MCA</w:t>
      </w:r>
      <w:r w:rsidR="007D5825">
        <w:t xml:space="preserve"> a</w:t>
      </w:r>
      <w:r w:rsidR="00D22612">
        <w:t>ssessment must be undertaken, in accordance with the MCA (2005) and local Safeguarding Board policy and procedure.</w:t>
      </w:r>
      <w:r w:rsidR="00E5442E">
        <w:t xml:space="preserve"> This includes the appointment of an Independent Mental Capacity Advocate (IMCA) if the person is un-befriended.  </w:t>
      </w:r>
      <w:r w:rsidR="00D22612">
        <w:t xml:space="preserve"> </w:t>
      </w:r>
    </w:p>
    <w:p w14:paraId="1864A12A" w14:textId="19BD977F" w:rsidR="007F1A8F" w:rsidRDefault="00F43F0A" w:rsidP="00955E43">
      <w:pPr>
        <w:pStyle w:val="Style2"/>
        <w:ind w:left="1138"/>
        <w:contextualSpacing w:val="0"/>
        <w:jc w:val="both"/>
      </w:pPr>
      <w:r>
        <w:t xml:space="preserve">Best Interests </w:t>
      </w:r>
      <w:r w:rsidR="007D5825">
        <w:t xml:space="preserve">(BI) </w:t>
      </w:r>
      <w:r>
        <w:t xml:space="preserve">decisions should include the views of the individual and their family / close friends. </w:t>
      </w:r>
      <w:r w:rsidR="00E5442E">
        <w:t>Where the person is assessed to lack capacity</w:t>
      </w:r>
      <w:r>
        <w:t xml:space="preserve"> </w:t>
      </w:r>
      <w:r w:rsidR="00E5442E">
        <w:t>but has a legal representative (Lasting Power of Attorney for Health and Welfare or Court of Protection deputyship), the representative is able to make decisions on the person’s behalf. The AACC service will ensure that LPA</w:t>
      </w:r>
      <w:r w:rsidR="007D5825">
        <w:t xml:space="preserve"> </w:t>
      </w:r>
      <w:r w:rsidR="00E5442E">
        <w:t xml:space="preserve">has been registered with the Office of the Public Guardian.    </w:t>
      </w:r>
      <w:r w:rsidR="00D22612">
        <w:t xml:space="preserve"> </w:t>
      </w:r>
    </w:p>
    <w:p w14:paraId="3CD5D0F1" w14:textId="1969AC0B" w:rsidR="00D22612" w:rsidRDefault="007F1A8F" w:rsidP="00955E43">
      <w:pPr>
        <w:pStyle w:val="Style2"/>
        <w:ind w:left="1138"/>
        <w:contextualSpacing w:val="0"/>
        <w:jc w:val="both"/>
      </w:pPr>
      <w:r>
        <w:t>Consent for the AACC eligibility assessment process will generally cover the entire process from referral, through screening and full assessment, and include reviews, although consent for review will always be reaffirmed at the time of those reviews taking place. The consent will also cover the sharing of personal information with relevant other professionals and organisations, in order to undertake the assessment and reviews.</w:t>
      </w:r>
    </w:p>
    <w:p w14:paraId="523A8C4F" w14:textId="05F9F1B9" w:rsidR="007F1A8F" w:rsidRDefault="00D22612" w:rsidP="00955E43">
      <w:pPr>
        <w:pStyle w:val="Style2"/>
        <w:ind w:left="1138"/>
        <w:contextualSpacing w:val="0"/>
        <w:jc w:val="both"/>
      </w:pPr>
      <w:r>
        <w:t xml:space="preserve">Further consent must be gained if the commissioning of a care package will require the individual to move from their usual accommodation. While consent to be assessed is a minor requirement, ‘Change of Accommodation’ is a major life decision.  </w:t>
      </w:r>
      <w:r w:rsidR="007F1A8F">
        <w:t xml:space="preserve"> </w:t>
      </w:r>
    </w:p>
    <w:p w14:paraId="7D5AC124" w14:textId="60BB03DF" w:rsidR="00D41399" w:rsidRDefault="00E5442E" w:rsidP="00955E43">
      <w:pPr>
        <w:pStyle w:val="Style2"/>
        <w:ind w:left="1138"/>
        <w:contextualSpacing w:val="0"/>
        <w:jc w:val="both"/>
      </w:pPr>
      <w:r>
        <w:t>Where a</w:t>
      </w:r>
      <w:r w:rsidR="00DA606F">
        <w:t>n</w:t>
      </w:r>
      <w:r>
        <w:t xml:space="preserve"> </w:t>
      </w:r>
      <w:r w:rsidR="002148CE">
        <w:t>individual</w:t>
      </w:r>
      <w:r>
        <w:t xml:space="preserve"> is assessed to not have </w:t>
      </w:r>
      <w:r w:rsidR="00F43F0A">
        <w:t xml:space="preserve">mental </w:t>
      </w:r>
      <w:r>
        <w:t>capa</w:t>
      </w:r>
      <w:r w:rsidR="00F43F0A">
        <w:t>c</w:t>
      </w:r>
      <w:r>
        <w:t>ity</w:t>
      </w:r>
      <w:r w:rsidR="00061605">
        <w:t xml:space="preserve"> to consent </w:t>
      </w:r>
      <w:r>
        <w:t xml:space="preserve">to AACC processes, </w:t>
      </w:r>
      <w:r w:rsidR="00061605">
        <w:t xml:space="preserve">consideration must also be given to whether any decisions will deprive that individual of their liberty, requiring a formal application for authorisation of </w:t>
      </w:r>
      <w:r w:rsidR="00066BC5">
        <w:t>D</w:t>
      </w:r>
      <w:r w:rsidR="00061605">
        <w:t xml:space="preserve">eprivation of </w:t>
      </w:r>
      <w:r w:rsidR="00066BC5">
        <w:t>L</w:t>
      </w:r>
      <w:r w:rsidR="00061605">
        <w:t xml:space="preserve">iberty </w:t>
      </w:r>
      <w:r w:rsidR="00066BC5">
        <w:t>S</w:t>
      </w:r>
      <w:r w:rsidR="00061605">
        <w:t xml:space="preserve">afeguards (DoLS). </w:t>
      </w:r>
    </w:p>
    <w:p w14:paraId="1F371793" w14:textId="01906EA9" w:rsidR="00787000" w:rsidRDefault="00851D05" w:rsidP="00955E43">
      <w:pPr>
        <w:pStyle w:val="Style2"/>
        <w:ind w:left="1138"/>
        <w:contextualSpacing w:val="0"/>
        <w:jc w:val="both"/>
      </w:pPr>
      <w:r>
        <w:t>The AACC service will work closely with colleagues from Safeguarding and LAs in relation to developments and implementation plans for the introduction of the Liberty Protection Safeguards (LPS). Policy will be updated accordingly as plans progress for this implementation.</w:t>
      </w:r>
    </w:p>
    <w:p w14:paraId="323ADE5F" w14:textId="15257B2D" w:rsidR="001F71F6" w:rsidRPr="0015255F" w:rsidRDefault="008F04F0" w:rsidP="001F71F6">
      <w:pPr>
        <w:pStyle w:val="Heading3"/>
      </w:pPr>
      <w:bookmarkStart w:id="60" w:name="_Toc110851941"/>
      <w:r>
        <w:t>Initial screening</w:t>
      </w:r>
      <w:bookmarkEnd w:id="60"/>
    </w:p>
    <w:p w14:paraId="310568CB" w14:textId="66F4F277" w:rsidR="00FA4BBC" w:rsidRDefault="00FA4BBC" w:rsidP="00955E43">
      <w:pPr>
        <w:pStyle w:val="Style2"/>
        <w:ind w:left="1138"/>
        <w:contextualSpacing w:val="0"/>
        <w:jc w:val="both"/>
      </w:pPr>
      <w:r>
        <w:t>Anyone can refer a</w:t>
      </w:r>
      <w:r w:rsidR="00DA606F">
        <w:t>n</w:t>
      </w:r>
      <w:r>
        <w:t xml:space="preserve"> </w:t>
      </w:r>
      <w:r w:rsidR="002148CE">
        <w:t>individual</w:t>
      </w:r>
      <w:r>
        <w:t xml:space="preserve"> (including the </w:t>
      </w:r>
      <w:r w:rsidR="002148CE">
        <w:t>individual</w:t>
      </w:r>
      <w:r>
        <w:t xml:space="preserve"> themselves) for initial screening to ascertain if a full eligibility assessment </w:t>
      </w:r>
      <w:r w:rsidR="00EF5BC9">
        <w:t xml:space="preserve">for </w:t>
      </w:r>
      <w:r w:rsidR="00043C80">
        <w:t>AACC</w:t>
      </w:r>
      <w:r w:rsidR="00EF5BC9">
        <w:t xml:space="preserve"> </w:t>
      </w:r>
      <w:r>
        <w:t xml:space="preserve">is required. A request will be accepted from non-professionals via email, letter or in exceptional cases, a referral can be initiated by telephone. Health &amp; Social Care Professionals including care providers must make referrals through the electronic referral portal. In all cases, valid consent is required </w:t>
      </w:r>
      <w:r w:rsidRPr="00FC1B55">
        <w:t>(</w:t>
      </w:r>
      <w:r w:rsidR="00FC1B55">
        <w:t xml:space="preserve">Section </w:t>
      </w:r>
      <w:r w:rsidRPr="00FC1B55">
        <w:t>6.</w:t>
      </w:r>
      <w:r w:rsidR="00FC1B55" w:rsidRPr="00FC1B55">
        <w:t>10</w:t>
      </w:r>
      <w:r w:rsidRPr="00FC1B55">
        <w:t>).</w:t>
      </w:r>
      <w:r>
        <w:t xml:space="preserve">  </w:t>
      </w:r>
    </w:p>
    <w:p w14:paraId="013B5AEC" w14:textId="5E06BCEC" w:rsidR="00066BC5" w:rsidRDefault="00043C80" w:rsidP="00955E43">
      <w:pPr>
        <w:pStyle w:val="Style2"/>
        <w:ind w:left="1138"/>
        <w:contextualSpacing w:val="0"/>
        <w:jc w:val="both"/>
      </w:pPr>
      <w:r>
        <w:t>Where a child or young person is eligible for continuing care a</w:t>
      </w:r>
      <w:r w:rsidR="00DA606F">
        <w:t xml:space="preserve">nd the young person is aged 14 years or over adult CHC are requested to become formally involved in the young </w:t>
      </w:r>
      <w:r w:rsidR="00642116">
        <w:t>person’s</w:t>
      </w:r>
      <w:r w:rsidR="00DA606F">
        <w:t xml:space="preserve"> continuing care so that eligibility of CHC funding can be determined immediately following the </w:t>
      </w:r>
      <w:r w:rsidR="00642116">
        <w:t>individual’s</w:t>
      </w:r>
      <w:r w:rsidR="00DA606F">
        <w:t xml:space="preserve"> 17</w:t>
      </w:r>
      <w:r w:rsidR="00DA606F" w:rsidRPr="00955E43">
        <w:t>th</w:t>
      </w:r>
      <w:r w:rsidR="00DA606F">
        <w:t xml:space="preserve"> birthday. This negates the need for a formal referral to adult CHC. </w:t>
      </w:r>
    </w:p>
    <w:p w14:paraId="26212439" w14:textId="438A8B4B" w:rsidR="00BD36DA" w:rsidRDefault="00BD36DA" w:rsidP="00955E43">
      <w:pPr>
        <w:pStyle w:val="Style2"/>
        <w:ind w:left="1138"/>
        <w:contextualSpacing w:val="0"/>
        <w:jc w:val="both"/>
      </w:pPr>
      <w:r>
        <w:t xml:space="preserve">Where the referral comes from </w:t>
      </w:r>
      <w:r w:rsidR="00642116">
        <w:t>an</w:t>
      </w:r>
      <w:r>
        <w:t xml:space="preserve"> </w:t>
      </w:r>
      <w:r w:rsidR="002148CE">
        <w:t>individual</w:t>
      </w:r>
      <w:r>
        <w:t xml:space="preserve">, family, representative or any professional who has not completed a </w:t>
      </w:r>
      <w:r w:rsidR="00043C80">
        <w:t>AACC</w:t>
      </w:r>
      <w:r w:rsidR="002D49C2">
        <w:t xml:space="preserve"> screening tool (</w:t>
      </w:r>
      <w:r>
        <w:t>Checklist</w:t>
      </w:r>
      <w:r w:rsidR="002D49C2">
        <w:t>)</w:t>
      </w:r>
      <w:r>
        <w:t xml:space="preserve">, the AACC service aims to complete the Checklist screening within 14 days of receipt of that referral.  </w:t>
      </w:r>
    </w:p>
    <w:p w14:paraId="62A6B2FA" w14:textId="350E82C1" w:rsidR="000B5141" w:rsidRDefault="00A94FA3" w:rsidP="00955E43">
      <w:pPr>
        <w:pStyle w:val="Style2"/>
        <w:ind w:left="1138"/>
        <w:contextualSpacing w:val="0"/>
        <w:jc w:val="both"/>
      </w:pPr>
      <w:r w:rsidRPr="00955E43">
        <w:t xml:space="preserve">The process for decisions about eligibility for </w:t>
      </w:r>
      <w:r w:rsidR="00DA606F" w:rsidRPr="00955E43">
        <w:t>AACC</w:t>
      </w:r>
      <w:r w:rsidRPr="00955E43">
        <w:t xml:space="preserve"> will be transparent for individuals and their families and for partner agencies. </w:t>
      </w:r>
      <w:r w:rsidR="000B5141">
        <w:t>All AACC p</w:t>
      </w:r>
      <w:r w:rsidR="008F04F0">
        <w:t xml:space="preserve">ractitioners </w:t>
      </w:r>
      <w:r w:rsidR="000B5141">
        <w:t xml:space="preserve">will confidently and proactively communicate the consistent message </w:t>
      </w:r>
      <w:r w:rsidR="008F04F0">
        <w:t xml:space="preserve">to </w:t>
      </w:r>
      <w:r w:rsidR="002148CE">
        <w:t>individual</w:t>
      </w:r>
      <w:r w:rsidR="008F04F0">
        <w:t xml:space="preserve">s, families and relevant professionals (e.g. District nurses, social care, discharge teams), that screening </w:t>
      </w:r>
      <w:r w:rsidR="000B5141">
        <w:t xml:space="preserve">via the </w:t>
      </w:r>
      <w:r w:rsidR="00043C80">
        <w:t>AACC</w:t>
      </w:r>
      <w:r w:rsidR="000B5141">
        <w:t xml:space="preserve"> Checklist </w:t>
      </w:r>
      <w:r w:rsidR="008F04F0">
        <w:t>is not an indication of eligibility</w:t>
      </w:r>
      <w:r w:rsidR="002D49C2">
        <w:t xml:space="preserve">; that the threshold to progress to full assessment is </w:t>
      </w:r>
      <w:r w:rsidR="00043C80">
        <w:t xml:space="preserve">appropriately </w:t>
      </w:r>
      <w:r w:rsidR="002D49C2">
        <w:t xml:space="preserve">set to ensure that all </w:t>
      </w:r>
      <w:r w:rsidR="00642116">
        <w:t>possibly eligible</w:t>
      </w:r>
      <w:r w:rsidR="002D49C2">
        <w:t xml:space="preserve"> individuals are identified for full assessment</w:t>
      </w:r>
      <w:r w:rsidR="008F04F0">
        <w:t xml:space="preserve">. </w:t>
      </w:r>
    </w:p>
    <w:p w14:paraId="6168ADE4" w14:textId="08BAFD09" w:rsidR="00BD36DA" w:rsidRDefault="00BD36DA" w:rsidP="00955E43">
      <w:pPr>
        <w:pStyle w:val="Style2"/>
        <w:ind w:left="1138"/>
        <w:contextualSpacing w:val="0"/>
        <w:jc w:val="both"/>
      </w:pPr>
      <w:r>
        <w:t xml:space="preserve">When an individual is referred for screening, the AACC service will first take steps to ensure that the </w:t>
      </w:r>
      <w:r w:rsidR="002148CE">
        <w:t>individual</w:t>
      </w:r>
      <w:r>
        <w:t xml:space="preserve"> is at their clinical optimum and in a stable condition for their needs to be assessed. </w:t>
      </w:r>
      <w:r w:rsidR="00830252">
        <w:t xml:space="preserve">Welfare checks will be undertaken by the AACC service to ensure ongoing </w:t>
      </w:r>
      <w:r w:rsidR="002148CE">
        <w:t>individual</w:t>
      </w:r>
      <w:r w:rsidR="00830252">
        <w:t xml:space="preserve"> safety. Where necessary to maintain safety, funding can be awarded without prejudice to provide a package of care until assessment is completed.  </w:t>
      </w:r>
      <w:r>
        <w:t xml:space="preserve">   </w:t>
      </w:r>
    </w:p>
    <w:p w14:paraId="5381FBF1" w14:textId="0889EA5C" w:rsidR="004C42EB" w:rsidRPr="00955E43" w:rsidRDefault="00871263" w:rsidP="00955E43">
      <w:pPr>
        <w:pStyle w:val="Style2"/>
        <w:ind w:left="1138"/>
        <w:contextualSpacing w:val="0"/>
        <w:jc w:val="both"/>
      </w:pPr>
      <w:r>
        <w:t xml:space="preserve">Training </w:t>
      </w:r>
      <w:r w:rsidRPr="00FC1B55">
        <w:t>(</w:t>
      </w:r>
      <w:r w:rsidR="00FC1B55">
        <w:t xml:space="preserve">Section </w:t>
      </w:r>
      <w:r w:rsidRPr="00FC1B55">
        <w:t>6.</w:t>
      </w:r>
      <w:r w:rsidR="00FC1B55" w:rsidRPr="00FC1B55">
        <w:t>4</w:t>
      </w:r>
      <w:r w:rsidRPr="00FC1B55">
        <w:t>)</w:t>
      </w:r>
      <w:r>
        <w:t xml:space="preserve"> will ensure that there will be l</w:t>
      </w:r>
      <w:r w:rsidR="008F04F0">
        <w:t>imited inappropriate or poor</w:t>
      </w:r>
      <w:r w:rsidR="004C42EB">
        <w:t>-</w:t>
      </w:r>
      <w:r w:rsidR="008F04F0">
        <w:t xml:space="preserve">quality </w:t>
      </w:r>
      <w:r w:rsidR="00BD36DA">
        <w:t xml:space="preserve">Checklist </w:t>
      </w:r>
      <w:r w:rsidR="008F04F0">
        <w:t>referrals received</w:t>
      </w:r>
      <w:r>
        <w:t xml:space="preserve">, as </w:t>
      </w:r>
      <w:r w:rsidR="004C42EB">
        <w:t>a</w:t>
      </w:r>
      <w:r>
        <w:t xml:space="preserve">ll referral agencies </w:t>
      </w:r>
      <w:r w:rsidR="004C42EB">
        <w:t xml:space="preserve">will </w:t>
      </w:r>
      <w:r>
        <w:t>know when and when not to carry out a checklist</w:t>
      </w:r>
      <w:r w:rsidR="004C42EB">
        <w:t xml:space="preserve"> and referrals are only accepted via a digital platform with quality </w:t>
      </w:r>
      <w:r w:rsidR="00642116">
        <w:t>control mistake</w:t>
      </w:r>
      <w:r w:rsidR="004C42EB">
        <w:t xml:space="preserve">-proofing at source, following registration of the referrer requiring proof of training. </w:t>
      </w:r>
    </w:p>
    <w:p w14:paraId="4E4FBF71" w14:textId="2DF085B8" w:rsidR="000B5141" w:rsidRDefault="004C42EB" w:rsidP="00955E43">
      <w:pPr>
        <w:pStyle w:val="Style2"/>
        <w:ind w:left="1138"/>
        <w:contextualSpacing w:val="0"/>
        <w:jc w:val="both"/>
      </w:pPr>
      <w:r>
        <w:t xml:space="preserve">The AACC service will be confident that they are in receipt of the majority of </w:t>
      </w:r>
      <w:r w:rsidR="002D49C2">
        <w:t>C</w:t>
      </w:r>
      <w:r>
        <w:t xml:space="preserve">hecklists conducted, including those that do not trigger for a full assessment. The team have processes in place to encourage practitioners to submit all completed </w:t>
      </w:r>
      <w:r w:rsidR="002D49C2">
        <w:t>C</w:t>
      </w:r>
      <w:r>
        <w:t xml:space="preserve">hecklists and, where appropriate, the AACC team </w:t>
      </w:r>
      <w:r w:rsidR="00871263">
        <w:t xml:space="preserve">keeps a record of when </w:t>
      </w:r>
      <w:r w:rsidR="002D49C2">
        <w:t>C</w:t>
      </w:r>
      <w:r w:rsidR="00871263">
        <w:t>hecklists have not been undertaken and why.</w:t>
      </w:r>
    </w:p>
    <w:p w14:paraId="38E93415" w14:textId="7F46A374" w:rsidR="000B5141" w:rsidRDefault="008E0539" w:rsidP="00955E43">
      <w:pPr>
        <w:pStyle w:val="Style2"/>
        <w:ind w:left="1138"/>
        <w:contextualSpacing w:val="0"/>
        <w:jc w:val="both"/>
      </w:pPr>
      <w:r>
        <w:t xml:space="preserve">Receipt of Checklists will be recorded in the case management system, with formal recording of the outcome of those screening assessments and appropriate adjustment of the record to reflect the contemporaneous pathway stage and decisions reached. </w:t>
      </w:r>
      <w:r w:rsidR="008F04F0">
        <w:t xml:space="preserve">Regular quality audits </w:t>
      </w:r>
      <w:r w:rsidR="004C42EB">
        <w:t xml:space="preserve">are </w:t>
      </w:r>
      <w:r w:rsidR="008F04F0">
        <w:t>performed</w:t>
      </w:r>
      <w:r w:rsidR="004C42EB">
        <w:t>,</w:t>
      </w:r>
      <w:r w:rsidR="008F04F0">
        <w:t xml:space="preserve"> with data and information routinely used to identify practitioners and/or organisations requiring targeted support to improve the quality of screening.</w:t>
      </w:r>
    </w:p>
    <w:p w14:paraId="09E5DCAC" w14:textId="53F9A182" w:rsidR="00AA23CF" w:rsidRDefault="00AA23CF" w:rsidP="00955E43">
      <w:pPr>
        <w:pStyle w:val="Style2"/>
        <w:ind w:left="1138"/>
        <w:contextualSpacing w:val="0"/>
        <w:jc w:val="both"/>
      </w:pPr>
      <w:r>
        <w:t xml:space="preserve">Receipt of a referral </w:t>
      </w:r>
      <w:r w:rsidR="00043C80">
        <w:t xml:space="preserve">/ </w:t>
      </w:r>
      <w:r>
        <w:t xml:space="preserve">Checklist will be triaged and acknowledged to the referrer within 5 working days. </w:t>
      </w:r>
      <w:r w:rsidR="00D035FD">
        <w:t xml:space="preserve">Referrals will be rejected if incomplete or if the ICB is not the responsible commissioner. </w:t>
      </w:r>
      <w:r>
        <w:t xml:space="preserve"> </w:t>
      </w:r>
    </w:p>
    <w:p w14:paraId="19E85862" w14:textId="2AB5E88C" w:rsidR="00B078A7" w:rsidRDefault="00B078A7" w:rsidP="00955E43">
      <w:pPr>
        <w:pStyle w:val="Style2"/>
        <w:ind w:left="1138"/>
        <w:contextualSpacing w:val="0"/>
        <w:jc w:val="both"/>
      </w:pPr>
      <w:r>
        <w:t xml:space="preserve">The outcome of referral screening will be made in writing to the </w:t>
      </w:r>
      <w:r w:rsidR="002148CE">
        <w:t>individual</w:t>
      </w:r>
      <w:r>
        <w:t xml:space="preserve">, with next steps outlined in the letter, </w:t>
      </w:r>
      <w:r w:rsidR="005D3AB5">
        <w:t xml:space="preserve">including, in the case of a negative Checklist, information relating to the NHS Complaints process, which is the next step if the </w:t>
      </w:r>
      <w:r w:rsidR="002148CE">
        <w:t>individual</w:t>
      </w:r>
      <w:r w:rsidR="005D3AB5">
        <w:t xml:space="preserve"> / representative wishes to dispute the outcome </w:t>
      </w:r>
      <w:r w:rsidR="005D3AB5" w:rsidRPr="00581CF0">
        <w:t>(Section 6.</w:t>
      </w:r>
      <w:r w:rsidR="000C63EC" w:rsidRPr="00581CF0">
        <w:t>2</w:t>
      </w:r>
      <w:r w:rsidR="005D3AB5" w:rsidRPr="00581CF0">
        <w:t>1).</w:t>
      </w:r>
      <w:r>
        <w:t xml:space="preserve"> </w:t>
      </w:r>
    </w:p>
    <w:p w14:paraId="4CDF9C98" w14:textId="1FA7010D" w:rsidR="00B078A7" w:rsidRDefault="00B078A7" w:rsidP="00955E43">
      <w:pPr>
        <w:pStyle w:val="Style2"/>
        <w:ind w:left="1138"/>
        <w:contextualSpacing w:val="0"/>
        <w:jc w:val="both"/>
      </w:pPr>
      <w:r>
        <w:t>Requests for reviews of positive Checklists will be denied</w:t>
      </w:r>
      <w:r w:rsidR="00066BC5">
        <w:t xml:space="preserve">. </w:t>
      </w:r>
      <w:r>
        <w:t xml:space="preserve">The subsequent full eligibility assessment will override the Checklist and re-applying the Checklist is not considered good use of resources. However, comments and concerns will be documented on the </w:t>
      </w:r>
      <w:r w:rsidR="002148CE">
        <w:t>individual</w:t>
      </w:r>
      <w:r>
        <w:t xml:space="preserve">’s record and the AACC service will take into account any concerns relating to process or evidence that was available but was not considered, to take forward as learning. </w:t>
      </w:r>
    </w:p>
    <w:p w14:paraId="00034981" w14:textId="22DCA460" w:rsidR="001F71F6" w:rsidRPr="0015255F" w:rsidRDefault="008F04F0" w:rsidP="001F71F6">
      <w:pPr>
        <w:pStyle w:val="Heading3"/>
      </w:pPr>
      <w:bookmarkStart w:id="61" w:name="_Toc110851942"/>
      <w:r>
        <w:t>Full Assessment</w:t>
      </w:r>
      <w:bookmarkEnd w:id="61"/>
    </w:p>
    <w:p w14:paraId="422C45F8" w14:textId="4660267A" w:rsidR="004C42EB" w:rsidRDefault="004C42EB" w:rsidP="00955E43">
      <w:pPr>
        <w:pStyle w:val="Style2"/>
        <w:ind w:left="1138"/>
        <w:contextualSpacing w:val="0"/>
        <w:jc w:val="both"/>
      </w:pPr>
      <w:r>
        <w:t xml:space="preserve">Assessments are scheduled by the </w:t>
      </w:r>
      <w:r w:rsidR="003139BF">
        <w:t xml:space="preserve">CHC </w:t>
      </w:r>
      <w:r>
        <w:t>team administrators</w:t>
      </w:r>
      <w:r w:rsidR="003139BF">
        <w:t xml:space="preserve"> </w:t>
      </w:r>
      <w:r w:rsidR="008F04F0">
        <w:t xml:space="preserve">at </w:t>
      </w:r>
      <w:r>
        <w:t xml:space="preserve">the </w:t>
      </w:r>
      <w:r w:rsidR="008F04F0">
        <w:t xml:space="preserve">optimum point in </w:t>
      </w:r>
      <w:r w:rsidR="00642116">
        <w:t>an</w:t>
      </w:r>
      <w:r>
        <w:t xml:space="preserve"> </w:t>
      </w:r>
      <w:r w:rsidR="002148CE">
        <w:t>individual</w:t>
      </w:r>
      <w:r>
        <w:t xml:space="preserve">’s </w:t>
      </w:r>
      <w:r w:rsidR="008F04F0">
        <w:t xml:space="preserve">rehabilitation and in </w:t>
      </w:r>
      <w:r>
        <w:t xml:space="preserve">an </w:t>
      </w:r>
      <w:r w:rsidR="008F04F0">
        <w:t>appropriate care setting</w:t>
      </w:r>
      <w:r w:rsidR="00116B88">
        <w:t>. Assessments can only be rescheduled by the administrative team. T</w:t>
      </w:r>
      <w:r w:rsidR="008F04F0">
        <w:t>he</w:t>
      </w:r>
      <w:r>
        <w:t xml:space="preserve"> team </w:t>
      </w:r>
      <w:r w:rsidR="008051D6">
        <w:t xml:space="preserve">will </w:t>
      </w:r>
      <w:r>
        <w:t xml:space="preserve">request and </w:t>
      </w:r>
      <w:r w:rsidR="008F04F0">
        <w:t xml:space="preserve">collate any </w:t>
      </w:r>
      <w:r w:rsidR="002148CE">
        <w:t>individual</w:t>
      </w:r>
      <w:r w:rsidR="008051D6">
        <w:t xml:space="preserve"> records</w:t>
      </w:r>
      <w:r w:rsidR="008F04F0">
        <w:t xml:space="preserve"> required to support </w:t>
      </w:r>
      <w:r>
        <w:t>the MDT</w:t>
      </w:r>
      <w:r w:rsidR="007D5498">
        <w:t xml:space="preserve"> and will invite a</w:t>
      </w:r>
      <w:r w:rsidR="0084134D">
        <w:t>ttendance and/or a</w:t>
      </w:r>
      <w:r w:rsidR="007D5498">
        <w:t xml:space="preserve"> written submission from the </w:t>
      </w:r>
      <w:r w:rsidR="002148CE">
        <w:t>individual</w:t>
      </w:r>
      <w:r w:rsidR="007D5498">
        <w:t xml:space="preserve"> / family / representative</w:t>
      </w:r>
      <w:r w:rsidR="0084134D">
        <w:t xml:space="preserve"> for</w:t>
      </w:r>
      <w:r w:rsidR="007D5498">
        <w:t xml:space="preserve"> the DST meeting. </w:t>
      </w:r>
      <w:r w:rsidR="008F04F0">
        <w:t xml:space="preserve"> </w:t>
      </w:r>
    </w:p>
    <w:p w14:paraId="5493B022" w14:textId="71B0FD0B" w:rsidR="003139BF" w:rsidRDefault="003139BF" w:rsidP="00955E43">
      <w:pPr>
        <w:pStyle w:val="Style2"/>
        <w:ind w:left="1138"/>
        <w:contextualSpacing w:val="0"/>
        <w:jc w:val="both"/>
      </w:pPr>
      <w:r>
        <w:t>For CYPCC</w:t>
      </w:r>
      <w:r w:rsidR="007256B5">
        <w:t>,</w:t>
      </w:r>
      <w:r>
        <w:t xml:space="preserve"> assessments are scheduled by the </w:t>
      </w:r>
      <w:r w:rsidR="00053C2B">
        <w:t>Clinical Manager</w:t>
      </w:r>
      <w:r w:rsidR="00564985">
        <w:t xml:space="preserve">s, who will </w:t>
      </w:r>
      <w:r w:rsidR="00066BC5">
        <w:t xml:space="preserve">also </w:t>
      </w:r>
      <w:r>
        <w:t xml:space="preserve">collate any </w:t>
      </w:r>
      <w:r w:rsidR="002148CE">
        <w:t>individual</w:t>
      </w:r>
      <w:r>
        <w:t xml:space="preserve"> records required to complete the </w:t>
      </w:r>
      <w:r w:rsidR="00564985">
        <w:t>assessment</w:t>
      </w:r>
      <w:r>
        <w:t xml:space="preserve">.  </w:t>
      </w:r>
    </w:p>
    <w:p w14:paraId="6BDB1B3B" w14:textId="2DE89053" w:rsidR="009708B5" w:rsidRDefault="00227FB5" w:rsidP="00955E43">
      <w:pPr>
        <w:pStyle w:val="Style2"/>
        <w:ind w:left="1138"/>
        <w:contextualSpacing w:val="0"/>
        <w:jc w:val="both"/>
      </w:pPr>
      <w:r>
        <w:t xml:space="preserve">The default methodology for </w:t>
      </w:r>
      <w:r w:rsidR="00BB3BEC">
        <w:t xml:space="preserve">meetings involving </w:t>
      </w:r>
      <w:r w:rsidR="002148CE">
        <w:t>individual</w:t>
      </w:r>
      <w:r w:rsidR="00BB3BEC">
        <w:t>s and families remains</w:t>
      </w:r>
      <w:r w:rsidR="009708B5">
        <w:t xml:space="preserve"> ‘virtual’</w:t>
      </w:r>
      <w:r w:rsidR="00BB3BEC">
        <w:t>, following the extensive Covid-19 pandemic</w:t>
      </w:r>
      <w:r w:rsidR="009708B5">
        <w:t xml:space="preserve">: </w:t>
      </w:r>
      <w:r>
        <w:t xml:space="preserve">online via videoconference. Should the default methodology not be considered appropriate due to </w:t>
      </w:r>
      <w:r w:rsidR="002148CE">
        <w:t>individual</w:t>
      </w:r>
      <w:r>
        <w:t xml:space="preserve"> or family needs, teleconference or face to face assessment may be offered, the latter of which is by exception only</w:t>
      </w:r>
      <w:r w:rsidR="00043C80" w:rsidRPr="00043C80">
        <w:t xml:space="preserve"> </w:t>
      </w:r>
      <w:r w:rsidR="00043C80">
        <w:t>and where clinical judgement indicates face to face meetings are essential to complete an accurate assessment.</w:t>
      </w:r>
    </w:p>
    <w:p w14:paraId="58A95D06" w14:textId="4DF58769" w:rsidR="004C42EB" w:rsidRDefault="008F04F0" w:rsidP="00955E43">
      <w:pPr>
        <w:pStyle w:val="Style2"/>
        <w:ind w:left="1138"/>
        <w:contextualSpacing w:val="0"/>
        <w:jc w:val="both"/>
      </w:pPr>
      <w:r>
        <w:t xml:space="preserve">The time taken from receipt of a positive </w:t>
      </w:r>
      <w:r w:rsidR="006E7A62">
        <w:t>C</w:t>
      </w:r>
      <w:r>
        <w:t xml:space="preserve">hecklist to eligibility decision </w:t>
      </w:r>
      <w:r w:rsidR="00116B88">
        <w:t xml:space="preserve">will </w:t>
      </w:r>
      <w:r>
        <w:t>very rarely extend beyond 28 days</w:t>
      </w:r>
      <w:r w:rsidR="00EF5BC9">
        <w:t xml:space="preserve"> for adult cases and </w:t>
      </w:r>
      <w:r w:rsidR="00304DCD">
        <w:t>(</w:t>
      </w:r>
      <w:r w:rsidR="003139BF">
        <w:t>as guidance</w:t>
      </w:r>
      <w:r w:rsidR="00304DCD">
        <w:t>)</w:t>
      </w:r>
      <w:r w:rsidR="003139BF">
        <w:t xml:space="preserve"> </w:t>
      </w:r>
      <w:r w:rsidR="00EF5BC9">
        <w:t>42 days for CYPCC cases</w:t>
      </w:r>
      <w:r>
        <w:t>.</w:t>
      </w:r>
      <w:r w:rsidR="00116B88">
        <w:t xml:space="preserve"> Where there is a delay, </w:t>
      </w:r>
      <w:r w:rsidR="00EF3651">
        <w:t xml:space="preserve">referrers and individuals will be kept advised of the situation and anticipated revised timelines, and </w:t>
      </w:r>
      <w:r w:rsidR="00116B88">
        <w:t xml:space="preserve">welfare checks will be undertaken by the AACC service to ensure ongoing </w:t>
      </w:r>
      <w:r w:rsidR="002148CE">
        <w:t>individual</w:t>
      </w:r>
      <w:r w:rsidR="00116B88">
        <w:t xml:space="preserve"> safety. Where necessary to maintain safety, funding can be awarded without prejudice to provide a package of care until assessment is completed. </w:t>
      </w:r>
      <w:r>
        <w:t xml:space="preserve"> </w:t>
      </w:r>
    </w:p>
    <w:p w14:paraId="2FF9BF2E" w14:textId="5F589704" w:rsidR="00691297" w:rsidRDefault="00EF5BC9" w:rsidP="00955E43">
      <w:pPr>
        <w:pStyle w:val="Style2"/>
        <w:ind w:left="1138"/>
        <w:contextualSpacing w:val="0"/>
        <w:jc w:val="both"/>
      </w:pPr>
      <w:r>
        <w:t>Assessments for CYPCC will be undertaken via a</w:t>
      </w:r>
      <w:r w:rsidR="00D035FD">
        <w:t xml:space="preserve"> holistic and objective H</w:t>
      </w:r>
      <w:r w:rsidR="00AA23CF">
        <w:t xml:space="preserve">ealth </w:t>
      </w:r>
      <w:r w:rsidR="00D035FD">
        <w:t>N</w:t>
      </w:r>
      <w:r w:rsidR="00AA23CF">
        <w:t xml:space="preserve">eeds </w:t>
      </w:r>
      <w:r w:rsidR="00D035FD">
        <w:t>A</w:t>
      </w:r>
      <w:r w:rsidR="00AA23CF">
        <w:t xml:space="preserve">ssessment </w:t>
      </w:r>
      <w:r>
        <w:t xml:space="preserve">DST completed by the CYPCC Clinical </w:t>
      </w:r>
      <w:r w:rsidR="00053C2B">
        <w:t>Manager</w:t>
      </w:r>
      <w:r w:rsidR="00D035FD">
        <w:t xml:space="preserve">, after </w:t>
      </w:r>
      <w:r w:rsidR="00A94FA3">
        <w:t xml:space="preserve">meeting with the child/young person and family and ensuring transparency of process by explaining how a decision on eligibility is made. </w:t>
      </w:r>
      <w:r w:rsidR="00691297">
        <w:t>Where possible, joint visits with social care and education representatives are undertaken in the assessment planning stage, to minimise duplication</w:t>
      </w:r>
      <w:r w:rsidR="00043C80">
        <w:t xml:space="preserve"> and promote joint working</w:t>
      </w:r>
      <w:r w:rsidR="00691297">
        <w:t xml:space="preserve">. </w:t>
      </w:r>
    </w:p>
    <w:p w14:paraId="52818092" w14:textId="107D7AB7" w:rsidR="00D022B0" w:rsidRDefault="00D022B0" w:rsidP="00066BC5">
      <w:pPr>
        <w:autoSpaceDE w:val="0"/>
        <w:autoSpaceDN w:val="0"/>
        <w:adjustRightInd w:val="0"/>
        <w:spacing w:before="0" w:after="120"/>
        <w:jc w:val="both"/>
      </w:pPr>
      <w:r>
        <w:t xml:space="preserve">There are four </w:t>
      </w:r>
      <w:r w:rsidR="00642116">
        <w:t xml:space="preserve">key </w:t>
      </w:r>
      <w:r>
        <w:t xml:space="preserve">areas of evidence that should be considered in the CYPCC assessment: </w:t>
      </w:r>
    </w:p>
    <w:p w14:paraId="0236942C" w14:textId="704C01EB" w:rsidR="00D022B0" w:rsidRDefault="00D022B0" w:rsidP="003667B7">
      <w:pPr>
        <w:pStyle w:val="ListParagraph"/>
        <w:numPr>
          <w:ilvl w:val="0"/>
          <w:numId w:val="19"/>
        </w:numPr>
        <w:autoSpaceDE w:val="0"/>
        <w:autoSpaceDN w:val="0"/>
        <w:adjustRightInd w:val="0"/>
        <w:spacing w:before="0" w:after="120"/>
        <w:ind w:left="1560"/>
        <w:jc w:val="both"/>
      </w:pPr>
      <w:r>
        <w:t xml:space="preserve">the preferences of the child or young person and their family; </w:t>
      </w:r>
    </w:p>
    <w:p w14:paraId="1D855D44" w14:textId="44FA1ABC" w:rsidR="00066BC5" w:rsidRDefault="00D022B0" w:rsidP="003667B7">
      <w:pPr>
        <w:pStyle w:val="ListParagraph"/>
        <w:numPr>
          <w:ilvl w:val="0"/>
          <w:numId w:val="19"/>
        </w:numPr>
        <w:autoSpaceDE w:val="0"/>
        <w:autoSpaceDN w:val="0"/>
        <w:adjustRightInd w:val="0"/>
        <w:spacing w:before="0" w:after="120"/>
        <w:ind w:left="1560"/>
        <w:jc w:val="both"/>
      </w:pPr>
      <w:r>
        <w:t>a holistic assessment of the needs of the child or young person and their family;</w:t>
      </w:r>
    </w:p>
    <w:p w14:paraId="5BC62EDB" w14:textId="77777777" w:rsidR="00066BC5" w:rsidRDefault="00D022B0" w:rsidP="003667B7">
      <w:pPr>
        <w:pStyle w:val="ListParagraph"/>
        <w:numPr>
          <w:ilvl w:val="0"/>
          <w:numId w:val="19"/>
        </w:numPr>
        <w:autoSpaceDE w:val="0"/>
        <w:autoSpaceDN w:val="0"/>
        <w:adjustRightInd w:val="0"/>
        <w:spacing w:before="0" w:after="120"/>
        <w:ind w:left="1560"/>
        <w:jc w:val="both"/>
      </w:pPr>
      <w:r>
        <w:t xml:space="preserve">reports and risk assessments from a multidisciplinary team or evidence collated during the Education, Health and Care plan assessment; and; </w:t>
      </w:r>
    </w:p>
    <w:p w14:paraId="435FADF4" w14:textId="1290F5AC" w:rsidR="00D022B0" w:rsidRDefault="00D022B0" w:rsidP="003667B7">
      <w:pPr>
        <w:pStyle w:val="ListParagraph"/>
        <w:numPr>
          <w:ilvl w:val="0"/>
          <w:numId w:val="19"/>
        </w:numPr>
        <w:autoSpaceDE w:val="0"/>
        <w:autoSpaceDN w:val="0"/>
        <w:adjustRightInd w:val="0"/>
        <w:spacing w:before="0" w:after="120"/>
        <w:ind w:left="1560"/>
        <w:jc w:val="both"/>
      </w:pPr>
      <w:r>
        <w:t>the Decision Support Tool for children and young people.</w:t>
      </w:r>
    </w:p>
    <w:p w14:paraId="5E2D7736" w14:textId="77777777" w:rsidR="00066BC5" w:rsidRDefault="00066BC5" w:rsidP="00066BC5">
      <w:pPr>
        <w:pStyle w:val="ListParagraph"/>
        <w:numPr>
          <w:ilvl w:val="0"/>
          <w:numId w:val="0"/>
        </w:numPr>
        <w:autoSpaceDE w:val="0"/>
        <w:autoSpaceDN w:val="0"/>
        <w:adjustRightInd w:val="0"/>
        <w:spacing w:before="0" w:after="120"/>
        <w:ind w:left="1560"/>
        <w:jc w:val="both"/>
      </w:pPr>
    </w:p>
    <w:p w14:paraId="60CEF649" w14:textId="4078FE88" w:rsidR="00EB1670" w:rsidRDefault="00A94FA3" w:rsidP="00955E43">
      <w:pPr>
        <w:pStyle w:val="Style2"/>
        <w:ind w:left="1138"/>
        <w:contextualSpacing w:val="0"/>
        <w:jc w:val="both"/>
      </w:pPr>
      <w:r>
        <w:t xml:space="preserve">The </w:t>
      </w:r>
      <w:r w:rsidR="00043C80">
        <w:t xml:space="preserve">CYP </w:t>
      </w:r>
      <w:r w:rsidR="00053C2B">
        <w:t>Clinical Manager</w:t>
      </w:r>
      <w:r>
        <w:t xml:space="preserve"> will also </w:t>
      </w:r>
      <w:r w:rsidR="00D035FD">
        <w:t>obtain and collat</w:t>
      </w:r>
      <w:r>
        <w:t>e</w:t>
      </w:r>
      <w:r w:rsidR="00D035FD">
        <w:t xml:space="preserve"> all pertinent assessments and information relating to the child/young person’s needs.</w:t>
      </w:r>
      <w:r w:rsidR="00EB1670">
        <w:t xml:space="preserve"> </w:t>
      </w:r>
      <w:r w:rsidR="00EB1670" w:rsidRPr="00955E43">
        <w:t>The continuing care assessment draws on earlier assessments that the child/young person may have already undergone, however focuses on the needs of the child / young person in the pr</w:t>
      </w:r>
      <w:r w:rsidR="00691297" w:rsidRPr="00955E43">
        <w:t>e</w:t>
      </w:r>
      <w:r w:rsidR="00EB1670" w:rsidRPr="00955E43">
        <w:t>ceding 3 months.</w:t>
      </w:r>
      <w:r w:rsidR="00D035FD">
        <w:t xml:space="preserve"> </w:t>
      </w:r>
    </w:p>
    <w:p w14:paraId="3988A5EF" w14:textId="7CC97D58" w:rsidR="00304DCD" w:rsidRDefault="00304DCD" w:rsidP="00955E43">
      <w:pPr>
        <w:pStyle w:val="Style2"/>
        <w:ind w:left="1138"/>
        <w:contextualSpacing w:val="0"/>
        <w:jc w:val="both"/>
      </w:pPr>
      <w:r>
        <w:t>For CYPCC</w:t>
      </w:r>
      <w:r w:rsidR="00DA606F">
        <w:t xml:space="preserve">, </w:t>
      </w:r>
      <w:r>
        <w:t xml:space="preserve">he outcome of the assessment is a recommendation from the </w:t>
      </w:r>
      <w:r w:rsidR="00DA606F">
        <w:t>clinical manager</w:t>
      </w:r>
      <w:r>
        <w:t xml:space="preserve"> as to whether or not the child or young person has continuing care needs and is eligible for CYPCC funding.</w:t>
      </w:r>
    </w:p>
    <w:p w14:paraId="20AA982E" w14:textId="58DAA648" w:rsidR="00EF5BC9" w:rsidRDefault="00EF5BC9" w:rsidP="00955E43">
      <w:pPr>
        <w:pStyle w:val="Style2"/>
        <w:ind w:left="1138"/>
        <w:contextualSpacing w:val="0"/>
        <w:jc w:val="both"/>
      </w:pPr>
      <w:r>
        <w:t>If eligibility is recommended, Social Care</w:t>
      </w:r>
      <w:r w:rsidR="00D035FD">
        <w:t xml:space="preserve">, </w:t>
      </w:r>
      <w:r>
        <w:t xml:space="preserve">Education professionals (as appropriate) </w:t>
      </w:r>
      <w:r w:rsidR="00D035FD">
        <w:t xml:space="preserve">may also be asked to provide a professional assessment report and the child/young person and family </w:t>
      </w:r>
      <w:r w:rsidR="00EB1670">
        <w:t xml:space="preserve">will be </w:t>
      </w:r>
      <w:r w:rsidR="00D035FD">
        <w:t>given the opportunity to review the DST and contribute further to the report prior to the subseq</w:t>
      </w:r>
      <w:r>
        <w:t xml:space="preserve">uent panel stage.    </w:t>
      </w:r>
    </w:p>
    <w:p w14:paraId="668F22CD" w14:textId="572A082C" w:rsidR="004C42EB" w:rsidRDefault="008F04F0" w:rsidP="00955E43">
      <w:pPr>
        <w:pStyle w:val="Style2"/>
        <w:ind w:left="1138"/>
        <w:contextualSpacing w:val="0"/>
        <w:jc w:val="both"/>
      </w:pPr>
      <w:r>
        <w:t>Assessment</w:t>
      </w:r>
      <w:r w:rsidR="00116B88">
        <w:t xml:space="preserve">s </w:t>
      </w:r>
      <w:r w:rsidR="006E7A62">
        <w:t xml:space="preserve">for CHC </w:t>
      </w:r>
      <w:r w:rsidR="00116B88">
        <w:t xml:space="preserve">will be </w:t>
      </w:r>
      <w:r>
        <w:t xml:space="preserve">undertaken by </w:t>
      </w:r>
      <w:r w:rsidR="00E162D6">
        <w:t xml:space="preserve">an </w:t>
      </w:r>
      <w:r>
        <w:t>appropriately trained, constituted MDT</w:t>
      </w:r>
      <w:r w:rsidR="00E162D6">
        <w:t xml:space="preserve"> in accordance with the National Framework and </w:t>
      </w:r>
      <w:r w:rsidR="005848B3">
        <w:t xml:space="preserve">the NHS Commissioning Board and CCG (Responsibilities and </w:t>
      </w:r>
      <w:r w:rsidR="00E162D6" w:rsidRPr="00955E43">
        <w:t>Standing Rules</w:t>
      </w:r>
      <w:r w:rsidR="005848B3" w:rsidRPr="00955E43">
        <w:t>)</w:t>
      </w:r>
      <w:r w:rsidR="00E162D6" w:rsidRPr="00955E43">
        <w:t xml:space="preserve"> Regulations</w:t>
      </w:r>
      <w:r w:rsidR="005848B3" w:rsidRPr="00955E43">
        <w:t xml:space="preserve"> 2012</w:t>
      </w:r>
      <w:r w:rsidR="008051D6" w:rsidRPr="00955E43">
        <w:t xml:space="preserve"> (Part 6, Regulation 21, Paragraph 13). </w:t>
      </w:r>
      <w:r w:rsidR="00E162D6">
        <w:t>All members of MDT must be deemed competent in line with the CHC Competency Framework and a</w:t>
      </w:r>
      <w:r w:rsidR="00116B88">
        <w:t xml:space="preserve">t least one member of the MDT must </w:t>
      </w:r>
      <w:r>
        <w:t xml:space="preserve">know the </w:t>
      </w:r>
      <w:r w:rsidR="002148CE">
        <w:t>individual</w:t>
      </w:r>
      <w:r>
        <w:t xml:space="preserve">. </w:t>
      </w:r>
      <w:r w:rsidR="008051D6">
        <w:t>The practitioners will have a strong understanding of their respective roles within the MDT and of the wider system pressures.</w:t>
      </w:r>
    </w:p>
    <w:p w14:paraId="6A761534" w14:textId="02886F08" w:rsidR="00B078A7" w:rsidRDefault="00B078A7" w:rsidP="00955E43">
      <w:pPr>
        <w:pStyle w:val="Style2"/>
        <w:ind w:left="1138"/>
        <w:contextualSpacing w:val="0"/>
        <w:jc w:val="both"/>
      </w:pPr>
      <w:r>
        <w:t xml:space="preserve">Where the </w:t>
      </w:r>
      <w:r w:rsidR="002148CE">
        <w:t>individual</w:t>
      </w:r>
      <w:r>
        <w:t xml:space="preserve"> has a specific condition or diagnosis that requires a specialist understanding of their presentation and needs, the AACC servi</w:t>
      </w:r>
      <w:r w:rsidR="00185C09">
        <w:t>c</w:t>
      </w:r>
      <w:r>
        <w:t xml:space="preserve">e will ensure that </w:t>
      </w:r>
      <w:r w:rsidR="00185C09">
        <w:t>a relevant subject clinical specialist is also part of the MDT</w:t>
      </w:r>
      <w:r w:rsidR="00043C80">
        <w:t>.</w:t>
      </w:r>
      <w:r w:rsidR="007256B5">
        <w:t xml:space="preserve"> </w:t>
      </w:r>
    </w:p>
    <w:p w14:paraId="1AA0E365" w14:textId="471840BA" w:rsidR="004C42EB" w:rsidRDefault="008F04F0" w:rsidP="00955E43">
      <w:pPr>
        <w:pStyle w:val="Style2"/>
        <w:ind w:left="1138"/>
        <w:contextualSpacing w:val="0"/>
        <w:jc w:val="both"/>
      </w:pPr>
      <w:r>
        <w:t xml:space="preserve">DSTs </w:t>
      </w:r>
      <w:r w:rsidR="008051D6">
        <w:t xml:space="preserve">will be </w:t>
      </w:r>
      <w:r>
        <w:t xml:space="preserve">completed digitally and uploaded to </w:t>
      </w:r>
      <w:r w:rsidR="008051D6">
        <w:t xml:space="preserve">the </w:t>
      </w:r>
      <w:r>
        <w:t xml:space="preserve">case management system. Supporting evidence </w:t>
      </w:r>
      <w:r w:rsidR="008051D6">
        <w:t xml:space="preserve">will be </w:t>
      </w:r>
      <w:r>
        <w:t xml:space="preserve">scanned and uploaded electronically. </w:t>
      </w:r>
    </w:p>
    <w:p w14:paraId="281020B3" w14:textId="0877E99B" w:rsidR="00B461BE" w:rsidRDefault="007D5498" w:rsidP="00955E43">
      <w:pPr>
        <w:pStyle w:val="Style2"/>
        <w:ind w:left="1138"/>
        <w:contextualSpacing w:val="0"/>
        <w:jc w:val="both"/>
      </w:pPr>
      <w:r>
        <w:t xml:space="preserve">The MDT will consider all evidence </w:t>
      </w:r>
      <w:r w:rsidR="00B461BE">
        <w:t xml:space="preserve">collated for the assessment, including written submissions from the </w:t>
      </w:r>
      <w:r w:rsidR="002148CE">
        <w:t>individual</w:t>
      </w:r>
      <w:r w:rsidR="00B461BE">
        <w:t xml:space="preserve"> / family / representative if unable to attend in person.</w:t>
      </w:r>
      <w:r w:rsidR="00EB1670">
        <w:t xml:space="preserve"> </w:t>
      </w:r>
      <w:r w:rsidR="00EB1670" w:rsidRPr="00955E43">
        <w:t xml:space="preserve">The assessment draws on earlier assessments that the </w:t>
      </w:r>
      <w:r w:rsidR="002148CE" w:rsidRPr="00955E43">
        <w:t>individual</w:t>
      </w:r>
      <w:r w:rsidR="00EB1670" w:rsidRPr="00955E43">
        <w:t xml:space="preserve"> may have already undergone, where relevant, however focuses on the needs present in the preceding 3 months. </w:t>
      </w:r>
      <w:r w:rsidR="00B461BE">
        <w:t xml:space="preserve">All domains of the DST will be discussed in full against the documentary and verbal evidence and the discussion recorded in the DST documentation. </w:t>
      </w:r>
    </w:p>
    <w:p w14:paraId="52BAE5E8" w14:textId="7B49951B" w:rsidR="00B461BE" w:rsidRDefault="00B461BE" w:rsidP="00955E43">
      <w:pPr>
        <w:pStyle w:val="Style2"/>
        <w:ind w:left="1138"/>
        <w:contextualSpacing w:val="0"/>
        <w:jc w:val="both"/>
      </w:pPr>
      <w:r>
        <w:t xml:space="preserve">The MDT will allocate scoring levels in each domain of the DST. Where there is disagreement from any party during the MDT process, this will be clearly recorded in the documentation. Where the MDT are unable to agree the scoring for a domain against the domain descriptors, the higher score will be selected and narrative recorded to reflect that decision.     </w:t>
      </w:r>
    </w:p>
    <w:p w14:paraId="0E041724" w14:textId="50EA16AE" w:rsidR="00B461BE" w:rsidRDefault="00B461BE" w:rsidP="00955E43">
      <w:pPr>
        <w:pStyle w:val="Style2"/>
        <w:ind w:left="1138"/>
        <w:contextualSpacing w:val="0"/>
        <w:jc w:val="both"/>
      </w:pPr>
      <w:r>
        <w:t xml:space="preserve">Following the MDT discussion against the DST domains, the MDT will consider and record their deliberations relating to the PHN test in closed session without the </w:t>
      </w:r>
      <w:r w:rsidR="002148CE">
        <w:t>individual</w:t>
      </w:r>
      <w:r>
        <w:t xml:space="preserve"> / family / representative present.</w:t>
      </w:r>
    </w:p>
    <w:p w14:paraId="7243BA39" w14:textId="3F750460" w:rsidR="007D5498" w:rsidRDefault="00B461BE" w:rsidP="00955E43">
      <w:pPr>
        <w:pStyle w:val="Style2"/>
        <w:ind w:left="1138"/>
        <w:contextualSpacing w:val="0"/>
        <w:jc w:val="both"/>
      </w:pPr>
      <w:r>
        <w:t xml:space="preserve">It is </w:t>
      </w:r>
      <w:r w:rsidR="007D5498">
        <w:t>expected that the MDT will make recommendation to the ICB with regard</w:t>
      </w:r>
      <w:r>
        <w:t xml:space="preserve"> to</w:t>
      </w:r>
      <w:r w:rsidR="007D5498">
        <w:t xml:space="preserve"> the eligibility decision in each case. The MDT is able to recommend full eligibility for CHC or no eligibility, the latter of which can be accompanied by a further recommendation for Funded Nursing Care </w:t>
      </w:r>
      <w:r w:rsidR="00795A0A">
        <w:t xml:space="preserve">(with or without an added continence payment) </w:t>
      </w:r>
      <w:r w:rsidR="007D5498">
        <w:t xml:space="preserve">or Joint </w:t>
      </w:r>
      <w:r w:rsidR="007D5498" w:rsidRPr="0031226D">
        <w:t xml:space="preserve">Funding </w:t>
      </w:r>
      <w:r w:rsidR="00527AF8" w:rsidRPr="0031226D">
        <w:t>(</w:t>
      </w:r>
      <w:r w:rsidR="00FC1B55" w:rsidRPr="0031226D">
        <w:t>S</w:t>
      </w:r>
      <w:r w:rsidR="00527AF8" w:rsidRPr="0031226D">
        <w:t xml:space="preserve">ection </w:t>
      </w:r>
      <w:r w:rsidR="0031226D" w:rsidRPr="0031226D">
        <w:t>6.27</w:t>
      </w:r>
      <w:r w:rsidR="00527AF8" w:rsidRPr="0031226D">
        <w:t>)</w:t>
      </w:r>
      <w:r w:rsidR="00527AF8">
        <w:t xml:space="preserve"> </w:t>
      </w:r>
      <w:r w:rsidR="007D5498">
        <w:t>by health and social care.</w:t>
      </w:r>
    </w:p>
    <w:p w14:paraId="491A7597" w14:textId="0735B7B0" w:rsidR="006E7A62" w:rsidRDefault="007D5498" w:rsidP="00955E43">
      <w:pPr>
        <w:pStyle w:val="Style2"/>
        <w:ind w:left="1138"/>
        <w:contextualSpacing w:val="0"/>
        <w:jc w:val="both"/>
      </w:pPr>
      <w:r>
        <w:t xml:space="preserve">Where the MDT is unable to unanimously agree the outcome of the PHN test, this will be clearly recorded in the DST document and the MDT </w:t>
      </w:r>
      <w:r w:rsidR="00B461BE">
        <w:t>C</w:t>
      </w:r>
      <w:r>
        <w:t>oordinator (AACC team practitioner) will make recommendation to the ICB regarding eligibility, for panel consideration (Section 6.1</w:t>
      </w:r>
      <w:r w:rsidR="00014222">
        <w:t>3</w:t>
      </w:r>
      <w:r>
        <w:t xml:space="preserve">). No DST will be accepted by the ICB in the absence of a recommendation.  </w:t>
      </w:r>
    </w:p>
    <w:p w14:paraId="1801B487" w14:textId="32D48220" w:rsidR="00AA1CB5" w:rsidRDefault="008051D6" w:rsidP="00955E43">
      <w:pPr>
        <w:pStyle w:val="Style2"/>
        <w:ind w:left="1138"/>
        <w:contextualSpacing w:val="0"/>
        <w:jc w:val="both"/>
      </w:pPr>
      <w:r>
        <w:t xml:space="preserve">Receipt of DST assessments </w:t>
      </w:r>
      <w:r w:rsidR="008E0539">
        <w:t xml:space="preserve">will be recorded in the case management system, with </w:t>
      </w:r>
      <w:r w:rsidR="008F04F0">
        <w:t xml:space="preserve">formal </w:t>
      </w:r>
      <w:r w:rsidR="008E0539">
        <w:t xml:space="preserve">recording of the </w:t>
      </w:r>
      <w:r w:rsidR="008F04F0">
        <w:t xml:space="preserve">outcome of </w:t>
      </w:r>
      <w:r w:rsidR="008E0539">
        <w:t xml:space="preserve">those assessments and appropriate adjustment of the record to reflect the contemporaneous pathway stage and decisions reached. </w:t>
      </w:r>
    </w:p>
    <w:p w14:paraId="0CEEFFB5" w14:textId="1D90DF64" w:rsidR="008F04F0" w:rsidRPr="00955E43" w:rsidRDefault="008E0539" w:rsidP="00955E43">
      <w:pPr>
        <w:pStyle w:val="Style2"/>
        <w:ind w:left="1138"/>
        <w:contextualSpacing w:val="0"/>
        <w:jc w:val="both"/>
      </w:pPr>
      <w:r>
        <w:t>Regular quality audits are performed, with data and information routinely used to identify practitioners and/or organisations requiring targeted support to improve the quality of MDT assessments.</w:t>
      </w:r>
      <w:r w:rsidR="008F04F0" w:rsidRPr="00955E43">
        <w:t xml:space="preserve"> </w:t>
      </w:r>
    </w:p>
    <w:p w14:paraId="1FC4EE48" w14:textId="77777777" w:rsidR="008E0539" w:rsidRPr="007E2B59" w:rsidRDefault="008E0539" w:rsidP="008E0539">
      <w:pPr>
        <w:ind w:hanging="1134"/>
        <w:jc w:val="both"/>
        <w:rPr>
          <w:b/>
          <w:bCs/>
        </w:rPr>
      </w:pPr>
    </w:p>
    <w:p w14:paraId="1AD991A3" w14:textId="4771E501" w:rsidR="001F71F6" w:rsidRPr="0015255F" w:rsidRDefault="008F04F0" w:rsidP="001F71F6">
      <w:pPr>
        <w:pStyle w:val="Heading3"/>
      </w:pPr>
      <w:bookmarkStart w:id="62" w:name="_Toc110851943"/>
      <w:r>
        <w:t>Verification</w:t>
      </w:r>
      <w:bookmarkEnd w:id="62"/>
    </w:p>
    <w:p w14:paraId="5ED8C2A1" w14:textId="5E510066" w:rsidR="00D53420" w:rsidRDefault="0072271B" w:rsidP="00955E43">
      <w:pPr>
        <w:pStyle w:val="Style2"/>
        <w:ind w:left="1138"/>
        <w:contextualSpacing w:val="0"/>
        <w:jc w:val="both"/>
      </w:pPr>
      <w:r>
        <w:t>The vast majority of v</w:t>
      </w:r>
      <w:r w:rsidR="007D5498">
        <w:t>erification</w:t>
      </w:r>
      <w:r>
        <w:t>s</w:t>
      </w:r>
      <w:r w:rsidR="007D5498">
        <w:t xml:space="preserve"> of MDT</w:t>
      </w:r>
      <w:r w:rsidR="0070700E">
        <w:t xml:space="preserve"> adult </w:t>
      </w:r>
      <w:r>
        <w:t xml:space="preserve">eligibility </w:t>
      </w:r>
      <w:r w:rsidR="007D5498">
        <w:t>recommendations</w:t>
      </w:r>
      <w:r w:rsidR="00B461BE">
        <w:t xml:space="preserve"> will be undertaken </w:t>
      </w:r>
      <w:r w:rsidR="00D53420">
        <w:t>via peer review</w:t>
      </w:r>
      <w:r w:rsidR="00C1100B">
        <w:t xml:space="preserve"> or</w:t>
      </w:r>
      <w:r w:rsidR="00D53420">
        <w:t xml:space="preserve"> manager review</w:t>
      </w:r>
      <w:r w:rsidR="0084134D">
        <w:t xml:space="preserve"> within the AACC service</w:t>
      </w:r>
      <w:r w:rsidR="00C1100B">
        <w:t xml:space="preserve">. </w:t>
      </w:r>
    </w:p>
    <w:p w14:paraId="685C51C4" w14:textId="648923DE" w:rsidR="00A10661" w:rsidRDefault="00A10661" w:rsidP="00955E43">
      <w:pPr>
        <w:pStyle w:val="Style2"/>
        <w:ind w:left="1138"/>
        <w:contextualSpacing w:val="0"/>
        <w:jc w:val="both"/>
      </w:pPr>
      <w:r>
        <w:t xml:space="preserve">CYPCC cases will be </w:t>
      </w:r>
      <w:r w:rsidR="00E35A51">
        <w:t xml:space="preserve">peer reviewed internally </w:t>
      </w:r>
      <w:r w:rsidR="003139BF">
        <w:t xml:space="preserve">as </w:t>
      </w:r>
      <w:r w:rsidR="007256B5">
        <w:t>required,</w:t>
      </w:r>
      <w:r w:rsidR="00304DCD">
        <w:t xml:space="preserve"> </w:t>
      </w:r>
      <w:r w:rsidR="00435EC8">
        <w:t>to confirm eligibility</w:t>
      </w:r>
      <w:r w:rsidR="00E35A51">
        <w:t xml:space="preserve"> or escalated to the service lead if there are any concerns relating to the eligibility decision. </w:t>
      </w:r>
      <w:r w:rsidR="0031226D">
        <w:t xml:space="preserve">DSTs should rarely be returned for additional supporting evidence, as all relevant documentation will have been requested in advance. </w:t>
      </w:r>
      <w:r w:rsidR="00DA606F">
        <w:t xml:space="preserve">The DST is then presented at the respective </w:t>
      </w:r>
      <w:r w:rsidR="00581CF0">
        <w:t xml:space="preserve">Joint Agency Verification Panel </w:t>
      </w:r>
      <w:r w:rsidR="00DA606F">
        <w:t>for ratification and approval.</w:t>
      </w:r>
    </w:p>
    <w:p w14:paraId="1A86438F" w14:textId="7C31DB2E" w:rsidR="00C1100B" w:rsidRDefault="00C1100B" w:rsidP="00955E43">
      <w:pPr>
        <w:pStyle w:val="Style2"/>
        <w:ind w:left="1138"/>
        <w:contextualSpacing w:val="0"/>
        <w:jc w:val="both"/>
      </w:pPr>
      <w:r>
        <w:t xml:space="preserve">It is expected that </w:t>
      </w:r>
      <w:r w:rsidR="00504C60">
        <w:t xml:space="preserve">only </w:t>
      </w:r>
      <w:r>
        <w:t xml:space="preserve">a limited number of </w:t>
      </w:r>
      <w:r w:rsidR="0070700E">
        <w:t xml:space="preserve">adult </w:t>
      </w:r>
      <w:r>
        <w:t xml:space="preserve">DSTs will require a panel review for verification. </w:t>
      </w:r>
      <w:bookmarkStart w:id="63" w:name="_Hlk100841337"/>
      <w:r>
        <w:t xml:space="preserve">Each Place-based AACC team will have arrangements with the Local Authority to convene a </w:t>
      </w:r>
      <w:r w:rsidR="00014222">
        <w:t xml:space="preserve">Joint Agency Verification Panel </w:t>
      </w:r>
      <w:r>
        <w:t xml:space="preserve">comprising a senior social worker and senior nurse </w:t>
      </w:r>
      <w:r w:rsidR="00504C60">
        <w:t xml:space="preserve">at least weekly, </w:t>
      </w:r>
      <w:r>
        <w:t xml:space="preserve">to verify MDT recommendations by exception.  </w:t>
      </w:r>
      <w:bookmarkEnd w:id="63"/>
    </w:p>
    <w:p w14:paraId="3F1C5299" w14:textId="1FB26441" w:rsidR="0072271B" w:rsidRDefault="0072271B" w:rsidP="00955E43">
      <w:pPr>
        <w:pStyle w:val="Style2"/>
        <w:ind w:left="1138"/>
        <w:contextualSpacing w:val="0"/>
        <w:jc w:val="both"/>
      </w:pPr>
      <w:r>
        <w:t>Verification should always be achieved within two working days of the DST</w:t>
      </w:r>
      <w:r w:rsidR="00C1100B">
        <w:t>, where panel review is not required. However, in</w:t>
      </w:r>
      <w:r>
        <w:t xml:space="preserve"> cases requiring </w:t>
      </w:r>
      <w:r w:rsidR="00581CF0">
        <w:t>Joint Agency Verification Panel</w:t>
      </w:r>
      <w:r>
        <w:t xml:space="preserve">, there will be a maximum of 5 working days between DST and a </w:t>
      </w:r>
      <w:r w:rsidR="00C1100B">
        <w:t xml:space="preserve">joint </w:t>
      </w:r>
      <w:r>
        <w:t>verification panel</w:t>
      </w:r>
      <w:r w:rsidR="00C1100B">
        <w:t xml:space="preserve"> decision</w:t>
      </w:r>
      <w:r>
        <w:t xml:space="preserve">.  </w:t>
      </w:r>
    </w:p>
    <w:p w14:paraId="6367B729" w14:textId="19BCE4DC" w:rsidR="0084134D" w:rsidRDefault="0084134D" w:rsidP="00955E43">
      <w:pPr>
        <w:pStyle w:val="Style2"/>
        <w:ind w:left="1138"/>
        <w:contextualSpacing w:val="0"/>
        <w:jc w:val="both"/>
      </w:pPr>
      <w:r>
        <w:t xml:space="preserve">Where an individual dies while awaiting a decision on NHS CHC eligibility and has been in receipt of care that could have been funded through the NHS, the process will be concluded to a final eligibility decision. Where no services have been received, the process concludes on notification of death and will not proceed to final decision.  </w:t>
      </w:r>
    </w:p>
    <w:p w14:paraId="61541AB5" w14:textId="7EA49E31" w:rsidR="00AA1CB5" w:rsidRDefault="00C1100B" w:rsidP="00955E43">
      <w:pPr>
        <w:pStyle w:val="Style2"/>
        <w:ind w:left="1138"/>
        <w:contextualSpacing w:val="0"/>
        <w:jc w:val="both"/>
      </w:pPr>
      <w:r>
        <w:t>MDT recommendations will be accepted by the ICB unless there is a clear breach of process or lack</w:t>
      </w:r>
      <w:r w:rsidR="00830252">
        <w:t xml:space="preserve"> /mismatch</w:t>
      </w:r>
      <w:r>
        <w:t xml:space="preserve"> of evidence to support the recommendation made by the MDT.   </w:t>
      </w:r>
      <w:r w:rsidR="00D53420">
        <w:t xml:space="preserve"> </w:t>
      </w:r>
    </w:p>
    <w:p w14:paraId="113814BE" w14:textId="0C55A894" w:rsidR="00C1100B" w:rsidRDefault="00C1100B" w:rsidP="00955E43">
      <w:pPr>
        <w:pStyle w:val="Style2"/>
        <w:ind w:left="1138"/>
        <w:contextualSpacing w:val="0"/>
        <w:jc w:val="both"/>
      </w:pPr>
      <w:r>
        <w:t>MDT recommendations requiring joint panel review include cases where the MDT has not agreed on the recommendation</w:t>
      </w:r>
      <w:r w:rsidR="00795A0A">
        <w:t xml:space="preserve">, where a recommendation for Joint Funding has been made following a ‘not eligible’ recommendation </w:t>
      </w:r>
      <w:r>
        <w:t xml:space="preserve">and those </w:t>
      </w:r>
      <w:r w:rsidR="00795A0A">
        <w:t xml:space="preserve">cases </w:t>
      </w:r>
      <w:r>
        <w:t xml:space="preserve">where there are elements of complexity that the MDT have agreed will require a joint panel to verify the recommendation. </w:t>
      </w:r>
      <w:r w:rsidR="00795A0A">
        <w:t xml:space="preserve">These cases will be ‘flagged’ by the MDT Coordinator on submission to the ICB, to ensure that they are included on the next scheduled joint verification panel meeting.  </w:t>
      </w:r>
    </w:p>
    <w:p w14:paraId="293E6E7E" w14:textId="4D30E319" w:rsidR="00003195" w:rsidRDefault="00003195" w:rsidP="00955E43">
      <w:pPr>
        <w:pStyle w:val="Style2"/>
        <w:ind w:left="1138"/>
        <w:contextualSpacing w:val="0"/>
        <w:jc w:val="both"/>
      </w:pPr>
      <w:r>
        <w:t>Outcome letters advising the individual of the ICB</w:t>
      </w:r>
      <w:r w:rsidR="00EF3651">
        <w:t xml:space="preserve"> or Multi-Agency CYPCC panel</w:t>
      </w:r>
      <w:r>
        <w:t xml:space="preserve">’s decision as to eligibility will be issued within </w:t>
      </w:r>
      <w:r w:rsidR="00304DCD">
        <w:t>5</w:t>
      </w:r>
      <w:r>
        <w:t xml:space="preserve"> working days of verification of the MDT recommendation.</w:t>
      </w:r>
      <w:r w:rsidR="00C57C1D">
        <w:t xml:space="preserve"> Outcome letters contain the information relating to the decision and relevant dates of eligibility, information on how and by when to appeal against a decision</w:t>
      </w:r>
      <w:r>
        <w:t xml:space="preserve"> </w:t>
      </w:r>
      <w:r w:rsidR="00C57C1D">
        <w:t xml:space="preserve">and will be accompanied by a copy of the fully completed DST document. </w:t>
      </w:r>
    </w:p>
    <w:p w14:paraId="645B688C" w14:textId="67850BCC" w:rsidR="00795A0A" w:rsidRDefault="00D53420" w:rsidP="00955E43">
      <w:pPr>
        <w:pStyle w:val="Style2"/>
        <w:ind w:left="1138"/>
        <w:contextualSpacing w:val="0"/>
        <w:jc w:val="both"/>
      </w:pPr>
      <w:r>
        <w:t>Regular quality audits are performed, with data and information routinely used to identify practitioners requiring targeted support to improve the quality of MDT assessments.</w:t>
      </w:r>
      <w:r w:rsidR="00795A0A">
        <w:t xml:space="preserve"> There is an arrangement for reciprocal quality review of a sample of DSTs across the AACC Place-based teams to ensure consistency of the application of the PHN test, via Standardisation Meetings and sample audit.</w:t>
      </w:r>
    </w:p>
    <w:p w14:paraId="09435880" w14:textId="6A2D1B00" w:rsidR="008F04F0" w:rsidRPr="0015255F" w:rsidRDefault="008F04F0" w:rsidP="008F04F0">
      <w:pPr>
        <w:pStyle w:val="Heading3"/>
      </w:pPr>
      <w:bookmarkStart w:id="64" w:name="_Toc110851944"/>
      <w:r>
        <w:t>Funded Nursing Care (FNC)</w:t>
      </w:r>
      <w:bookmarkEnd w:id="64"/>
    </w:p>
    <w:p w14:paraId="713B6376" w14:textId="4E0EDBC2" w:rsidR="00485DCC" w:rsidRDefault="00485DCC" w:rsidP="00955E43">
      <w:pPr>
        <w:pStyle w:val="Style2"/>
        <w:ind w:left="1138"/>
        <w:contextualSpacing w:val="0"/>
        <w:jc w:val="both"/>
      </w:pPr>
      <w:r>
        <w:t>NHS FNC is the funding provided by the NHS to care homes with nursing to support the provision of nursing care by a registered nurse.</w:t>
      </w:r>
    </w:p>
    <w:p w14:paraId="4AD1EF36" w14:textId="19C5A31A" w:rsidR="00BD36DA" w:rsidRDefault="008F04F0" w:rsidP="00955E43">
      <w:pPr>
        <w:pStyle w:val="Style2"/>
        <w:ind w:left="1138"/>
        <w:contextualSpacing w:val="0"/>
        <w:jc w:val="both"/>
      </w:pPr>
      <w:r>
        <w:t xml:space="preserve">FNC </w:t>
      </w:r>
      <w:r w:rsidR="00795A0A">
        <w:t xml:space="preserve">can be awarded following full consideration for CHC, either via a negative Checklist and subsequent Nursing Needs Assessment, or via a full MDT eligibility assessment. </w:t>
      </w:r>
    </w:p>
    <w:p w14:paraId="5CF25EBD" w14:textId="4256DF69" w:rsidR="00795A0A" w:rsidRDefault="00BD36DA" w:rsidP="00955E43">
      <w:pPr>
        <w:pStyle w:val="Style2"/>
        <w:ind w:left="1138"/>
        <w:contextualSpacing w:val="0"/>
        <w:jc w:val="both"/>
      </w:pPr>
      <w:r>
        <w:t xml:space="preserve">For </w:t>
      </w:r>
      <w:r w:rsidR="002148CE">
        <w:t>individual</w:t>
      </w:r>
      <w:r>
        <w:t xml:space="preserve">s who are NHS-funded via the Mental Health Act 1983, Section 117 aftercare arrangements, </w:t>
      </w:r>
      <w:r w:rsidR="00304DCD">
        <w:t>referrals will be redirected to the Individual Placements Team in the first instance, as the majority of need is more likely to focus on the individual’s mental health support needs. A</w:t>
      </w:r>
      <w:r>
        <w:t xml:space="preserve"> Nursing Needs Assessment is sufficient to evidence general nursing needs outside the remit of the ongoing mental health funding</w:t>
      </w:r>
      <w:r w:rsidR="00D035FD">
        <w:t>, for both adults and children/young people</w:t>
      </w:r>
      <w:r>
        <w:t xml:space="preserve">.  </w:t>
      </w:r>
    </w:p>
    <w:p w14:paraId="165FD5BB" w14:textId="3FF20281" w:rsidR="00795A0A" w:rsidRDefault="00795A0A" w:rsidP="00955E43">
      <w:pPr>
        <w:pStyle w:val="Style2"/>
        <w:ind w:left="1138"/>
        <w:contextualSpacing w:val="0"/>
        <w:jc w:val="both"/>
      </w:pPr>
      <w:r>
        <w:t xml:space="preserve">FNC can only be paid where the </w:t>
      </w:r>
      <w:r w:rsidR="002148CE">
        <w:t>individual</w:t>
      </w:r>
      <w:r>
        <w:t xml:space="preserve"> is resident in a care home with nursing, or for the physical health nursing element of a care package funded under Section 117 of the Mental Health Act (1983 &amp; </w:t>
      </w:r>
      <w:r w:rsidR="009E6CD2">
        <w:t>2007</w:t>
      </w:r>
      <w:r>
        <w:t xml:space="preserve">) for a resident </w:t>
      </w:r>
      <w:r w:rsidR="00ED2D72">
        <w:t>in</w:t>
      </w:r>
      <w:r>
        <w:t xml:space="preserve"> a care home. </w:t>
      </w:r>
    </w:p>
    <w:p w14:paraId="3D1D031C" w14:textId="6F5F8EB1" w:rsidR="00ED2D72" w:rsidRDefault="00ED2D72" w:rsidP="00955E43">
      <w:pPr>
        <w:pStyle w:val="Style2"/>
        <w:ind w:left="1138"/>
        <w:contextualSpacing w:val="0"/>
        <w:jc w:val="both"/>
      </w:pPr>
      <w:r>
        <w:t xml:space="preserve">FNC eligibility must in the main be assessed within two weeks of a care home notifying the AACC service of the </w:t>
      </w:r>
      <w:r w:rsidR="002148CE">
        <w:t>individual</w:t>
      </w:r>
      <w:r>
        <w:t xml:space="preserve">’s admission / need for assessment. These referrals must be made via the electronic referral portal, to enable the countdown clock to be activated.  </w:t>
      </w:r>
    </w:p>
    <w:p w14:paraId="21467CA1" w14:textId="5DC5266A" w:rsidR="008F04F0" w:rsidRDefault="008F04F0" w:rsidP="00955E43">
      <w:pPr>
        <w:pStyle w:val="Style2"/>
        <w:ind w:left="1138"/>
        <w:contextualSpacing w:val="0"/>
        <w:jc w:val="both"/>
      </w:pPr>
      <w:r>
        <w:t xml:space="preserve">The </w:t>
      </w:r>
      <w:r w:rsidR="00ED2D72">
        <w:t xml:space="preserve">ICB </w:t>
      </w:r>
      <w:r>
        <w:t xml:space="preserve">has an integrated strategy and infrastructure which supports and manages individuals in Care Homes with Nursing. This </w:t>
      </w:r>
      <w:r w:rsidR="00ED2D72">
        <w:t xml:space="preserve">operates via the Primary Care Networks </w:t>
      </w:r>
      <w:r w:rsidR="00D9794C">
        <w:t>(</w:t>
      </w:r>
      <w:r w:rsidR="000C04BC">
        <w:t>PCNs</w:t>
      </w:r>
      <w:r w:rsidR="00D9794C">
        <w:t>)</w:t>
      </w:r>
      <w:r w:rsidR="00ED2D72">
        <w:t xml:space="preserve">and </w:t>
      </w:r>
      <w:r>
        <w:t>prevents deterioration and avoidable hospital admissions in line with the principles of 'Ageing Well', as outlined in the NHS Long Term Plan. There is evidence of improved outcomes through this strategy and the strategy is regularly reviewed.</w:t>
      </w:r>
    </w:p>
    <w:p w14:paraId="3EDF0394" w14:textId="0A47C698" w:rsidR="008F04F0" w:rsidRPr="0015255F" w:rsidRDefault="008F04F0" w:rsidP="00955E43">
      <w:pPr>
        <w:pStyle w:val="Heading3"/>
      </w:pPr>
      <w:bookmarkStart w:id="65" w:name="_Toc110851945"/>
      <w:r>
        <w:t>Fast Track (FT)</w:t>
      </w:r>
      <w:bookmarkEnd w:id="65"/>
    </w:p>
    <w:p w14:paraId="434101A1" w14:textId="19A5128E" w:rsidR="004414D1" w:rsidRDefault="00ED2D72" w:rsidP="00955E43">
      <w:pPr>
        <w:pStyle w:val="Style2"/>
        <w:ind w:left="1138"/>
        <w:contextualSpacing w:val="0"/>
        <w:jc w:val="both"/>
      </w:pPr>
      <w:r>
        <w:t xml:space="preserve">The ICB recognises that applications for ‘Fast Track’ funding </w:t>
      </w:r>
      <w:r w:rsidR="00504C60">
        <w:t>may</w:t>
      </w:r>
      <w:r>
        <w:t xml:space="preserve"> be reflective of a failure in </w:t>
      </w:r>
      <w:r w:rsidR="004414D1">
        <w:t xml:space="preserve">the </w:t>
      </w:r>
      <w:r>
        <w:t>early recognition of people approaching end of life</w:t>
      </w:r>
      <w:r w:rsidR="00851D05">
        <w:t xml:space="preserve"> and/or the commissioning of appropriate community services to support those needs. </w:t>
      </w:r>
      <w:r w:rsidR="004414D1">
        <w:t xml:space="preserve">Such applications should be by exception and not the standard approach to requesting funding of care for people at end of life. The ICB will commission sufficient provider capacity in the community to proactively identify and support most people who are in their last year of life, to ensure that the required care and support is put in place and contingency / deterioration plans are in place, thus reducing the need for FT funding applications, except in exceptional circumstances.      </w:t>
      </w:r>
      <w:r>
        <w:t xml:space="preserve"> </w:t>
      </w:r>
    </w:p>
    <w:p w14:paraId="1E21930B" w14:textId="6CC5965E" w:rsidR="00CF1235" w:rsidRDefault="004414D1" w:rsidP="00955E43">
      <w:pPr>
        <w:pStyle w:val="Style2"/>
        <w:ind w:left="1138"/>
        <w:contextualSpacing w:val="0"/>
        <w:jc w:val="both"/>
      </w:pPr>
      <w:r>
        <w:t>F</w:t>
      </w:r>
      <w:r w:rsidR="00227E04">
        <w:t>T</w:t>
      </w:r>
      <w:r>
        <w:t xml:space="preserve"> applications will only be made for </w:t>
      </w:r>
      <w:r w:rsidR="00161F06">
        <w:t xml:space="preserve">any age </w:t>
      </w:r>
      <w:r w:rsidR="002148CE">
        <w:t>individual</w:t>
      </w:r>
      <w:r>
        <w:t xml:space="preserve">s who are rapidly deteriorating and may be entering the terminal stage of their life-limiting condition. The referral will be accepted from an appropriate registered healthcare professional (Doctor or </w:t>
      </w:r>
      <w:r w:rsidR="00851D05">
        <w:t>Registered N</w:t>
      </w:r>
      <w:r>
        <w:t xml:space="preserve">urse), via the electronic referral portal and must be accompanied by sufficient evidence to support immediate decision-making. It is expected that minimum evidence will include </w:t>
      </w:r>
      <w:r w:rsidR="00CF1235">
        <w:t>a</w:t>
      </w:r>
      <w:r>
        <w:t xml:space="preserve"> prescription for anticipatory medications and </w:t>
      </w:r>
      <w:r w:rsidR="00304DCD">
        <w:t xml:space="preserve">(for adults only) </w:t>
      </w:r>
      <w:r w:rsidR="00CF1235">
        <w:t xml:space="preserve">a correctly completed </w:t>
      </w:r>
      <w:r>
        <w:t>‘Do not attempt resuscitation’ (DNAR)</w:t>
      </w:r>
      <w:r w:rsidR="00CF1235">
        <w:t xml:space="preserve"> document. </w:t>
      </w:r>
    </w:p>
    <w:p w14:paraId="28759FE2" w14:textId="73268A9B" w:rsidR="00161F06" w:rsidRDefault="00161F06" w:rsidP="00955E43">
      <w:pPr>
        <w:pStyle w:val="Style2"/>
        <w:ind w:left="1138"/>
        <w:contextualSpacing w:val="0"/>
        <w:jc w:val="both"/>
      </w:pPr>
      <w:r>
        <w:t>The AACC service will source and commission a package of care to mee</w:t>
      </w:r>
      <w:r w:rsidR="00435EC8">
        <w:t>t</w:t>
      </w:r>
      <w:r w:rsidR="00304DCD">
        <w:t xml:space="preserve"> </w:t>
      </w:r>
      <w:r>
        <w:t xml:space="preserve">the individual’s identified needs without delay, prioritising such cases over standard brokerage/commissioning activity.  </w:t>
      </w:r>
    </w:p>
    <w:p w14:paraId="55054552" w14:textId="28A06342" w:rsidR="00830252" w:rsidRDefault="00830252" w:rsidP="00955E43">
      <w:pPr>
        <w:pStyle w:val="Style2"/>
        <w:ind w:left="1138"/>
        <w:contextualSpacing w:val="0"/>
        <w:jc w:val="both"/>
      </w:pPr>
      <w:r>
        <w:t xml:space="preserve">Clinicians making referral via a FT application must explain to the </w:t>
      </w:r>
      <w:r w:rsidR="002148CE">
        <w:t>individual</w:t>
      </w:r>
      <w:r>
        <w:t xml:space="preserve"> / their representative that their needs will be subject to periodic review and that the funding stream may change following such a review. </w:t>
      </w:r>
      <w:r w:rsidR="00161F06">
        <w:t xml:space="preserve">FT </w:t>
      </w:r>
      <w:r w:rsidR="00043C80">
        <w:t xml:space="preserve">funding </w:t>
      </w:r>
      <w:r w:rsidR="00161F06">
        <w:t xml:space="preserve">cannot be removed without a formal review process taking place. </w:t>
      </w:r>
    </w:p>
    <w:p w14:paraId="203CE0AB" w14:textId="2C0C93B3" w:rsidR="008E0539" w:rsidRPr="00955E43" w:rsidRDefault="008F04F0" w:rsidP="00955E43">
      <w:pPr>
        <w:pStyle w:val="Style2"/>
        <w:ind w:left="1138"/>
        <w:contextualSpacing w:val="0"/>
        <w:jc w:val="both"/>
      </w:pPr>
      <w:r>
        <w:t xml:space="preserve">Receipt of </w:t>
      </w:r>
      <w:r w:rsidR="00CF1235">
        <w:t xml:space="preserve">a FT application </w:t>
      </w:r>
      <w:r w:rsidR="008E0539">
        <w:t>will be recorded in the case management system, with formal recording of the outcome of the</w:t>
      </w:r>
      <w:r w:rsidR="00CF1235">
        <w:t xml:space="preserve"> application</w:t>
      </w:r>
      <w:r w:rsidR="008E0539">
        <w:t xml:space="preserve"> and appropriate adjustment of the record to reflect the contemporaneous pathway stage and decisions reached. Regular quality audits are performed, with data and information routinely used to identify practitioners and/or organisations requiring targeted support to improve the quality of </w:t>
      </w:r>
      <w:r w:rsidR="00ED2D72">
        <w:t>FT referrals</w:t>
      </w:r>
      <w:r w:rsidR="008E0539">
        <w:t>.</w:t>
      </w:r>
      <w:r w:rsidR="008E0539" w:rsidRPr="00955E43">
        <w:t xml:space="preserve"> </w:t>
      </w:r>
    </w:p>
    <w:p w14:paraId="3ECA1EBC" w14:textId="1BB535AF" w:rsidR="008F04F0" w:rsidRPr="0015255F" w:rsidRDefault="008F04F0" w:rsidP="00955E43">
      <w:pPr>
        <w:pStyle w:val="Heading3"/>
      </w:pPr>
      <w:bookmarkStart w:id="66" w:name="_Hlk95117305"/>
      <w:bookmarkStart w:id="67" w:name="_Toc110851946"/>
      <w:r>
        <w:t>Personal Health Budgets</w:t>
      </w:r>
      <w:bookmarkEnd w:id="67"/>
    </w:p>
    <w:p w14:paraId="3662E16B" w14:textId="2126FB20" w:rsidR="00CF1235" w:rsidRDefault="007F6641" w:rsidP="00955E43">
      <w:pPr>
        <w:pStyle w:val="Style2"/>
        <w:ind w:left="1138"/>
        <w:contextualSpacing w:val="0"/>
        <w:jc w:val="both"/>
      </w:pPr>
      <w:r>
        <w:t xml:space="preserve">PHBs are the default mechanism for delivering </w:t>
      </w:r>
      <w:r w:rsidR="00043C80">
        <w:t>AACC</w:t>
      </w:r>
      <w:r>
        <w:t xml:space="preserve"> </w:t>
      </w:r>
      <w:r w:rsidR="00CF1235">
        <w:t xml:space="preserve">domiciliary </w:t>
      </w:r>
      <w:r>
        <w:t xml:space="preserve">care </w:t>
      </w:r>
      <w:r w:rsidR="00642116">
        <w:t>packages and</w:t>
      </w:r>
      <w:r>
        <w:t xml:space="preserve"> </w:t>
      </w:r>
      <w:r w:rsidR="00CF1235">
        <w:t xml:space="preserve">can also be </w:t>
      </w:r>
      <w:r>
        <w:t xml:space="preserve">considered with the individual and family for any other care setting. </w:t>
      </w:r>
    </w:p>
    <w:p w14:paraId="78554C32" w14:textId="6F7CBFDB" w:rsidR="007F6641" w:rsidRDefault="007F6641" w:rsidP="00955E43">
      <w:pPr>
        <w:pStyle w:val="Style2"/>
        <w:ind w:left="1138"/>
        <w:contextualSpacing w:val="0"/>
        <w:jc w:val="both"/>
      </w:pPr>
      <w:r>
        <w:t xml:space="preserve">There is a well-established local PHB offer for </w:t>
      </w:r>
      <w:r w:rsidR="00C43E89">
        <w:t>AACC</w:t>
      </w:r>
      <w:r w:rsidR="00CF1235">
        <w:t xml:space="preserve"> </w:t>
      </w:r>
      <w:r>
        <w:t xml:space="preserve">that is supported by the local health and social care system, with </w:t>
      </w:r>
      <w:r w:rsidR="00C43E89">
        <w:t xml:space="preserve">an over-arching ICB PHB Policy </w:t>
      </w:r>
      <w:r w:rsidR="00390B99" w:rsidRPr="00955E43">
        <w:t xml:space="preserve">(Personal Health Budgets: Ethos, Practice and Guidance Policy) </w:t>
      </w:r>
      <w:r w:rsidR="00C43E89" w:rsidRPr="00955E43">
        <w:t xml:space="preserve">and </w:t>
      </w:r>
      <w:r w:rsidRPr="00955E43">
        <w:t>co</w:t>
      </w:r>
      <w:r>
        <w:t>mprehensive information available for people and families</w:t>
      </w:r>
      <w:r w:rsidR="00CF1235">
        <w:t xml:space="preserve"> on the ICB website and in paper form on request.</w:t>
      </w:r>
      <w:r w:rsidR="00845208">
        <w:t xml:space="preserve"> Please refer to that policy for further detail on the PHB process.</w:t>
      </w:r>
    </w:p>
    <w:p w14:paraId="7B5914E5" w14:textId="1FD92E78" w:rsidR="007F6641" w:rsidRDefault="00CF1235" w:rsidP="00955E43">
      <w:pPr>
        <w:pStyle w:val="Style2"/>
        <w:ind w:left="1138"/>
        <w:contextualSpacing w:val="0"/>
        <w:jc w:val="both"/>
      </w:pPr>
      <w:r>
        <w:t>There are c</w:t>
      </w:r>
      <w:r w:rsidR="007F6641">
        <w:t xml:space="preserve">lear, well documented and comprehensive PHB processes in place, </w:t>
      </w:r>
      <w:r>
        <w:t xml:space="preserve">with </w:t>
      </w:r>
      <w:r w:rsidR="007F6641">
        <w:t>detailed guidance and support available to aid practitioners with all parts of the process, including routine and complex decision making and providing timely, person-centred advice; this includes access to expert points of contact</w:t>
      </w:r>
      <w:r w:rsidR="00C43E89">
        <w:t xml:space="preserve"> within the ICB and in third party PHB providers</w:t>
      </w:r>
      <w:r w:rsidR="007F6641">
        <w:t>.</w:t>
      </w:r>
    </w:p>
    <w:p w14:paraId="53BF42E5" w14:textId="69D87973" w:rsidR="00C43E89" w:rsidRDefault="007F6641" w:rsidP="00955E43">
      <w:pPr>
        <w:pStyle w:val="Style2"/>
        <w:ind w:left="1138"/>
        <w:contextualSpacing w:val="0"/>
        <w:jc w:val="both"/>
      </w:pPr>
      <w:r>
        <w:t xml:space="preserve">All front-line </w:t>
      </w:r>
      <w:r w:rsidR="00C43E89">
        <w:t>AACC s</w:t>
      </w:r>
      <w:r>
        <w:t xml:space="preserve">taff </w:t>
      </w:r>
      <w:r w:rsidR="00C43E89">
        <w:t xml:space="preserve">will </w:t>
      </w:r>
      <w:r>
        <w:t xml:space="preserve">have the skills, confidence and resilience to </w:t>
      </w:r>
      <w:r w:rsidR="00C43E89">
        <w:t xml:space="preserve">manage complex cases and decisions and to </w:t>
      </w:r>
      <w:r>
        <w:t>deliver PHBs in a timely and sustainable way</w:t>
      </w:r>
      <w:r w:rsidR="00C43E89">
        <w:t xml:space="preserve">. </w:t>
      </w:r>
      <w:r>
        <w:t xml:space="preserve"> All staff members have access to training and senior support </w:t>
      </w:r>
      <w:r w:rsidR="00C43E89">
        <w:t>and where necessary have a clear competency and development plan in place which is reviewed regularly.</w:t>
      </w:r>
      <w:r w:rsidR="00C43E89" w:rsidRPr="00C43E89">
        <w:t xml:space="preserve"> </w:t>
      </w:r>
      <w:r w:rsidR="00C90953">
        <w:t>Progressive integrated training</w:t>
      </w:r>
      <w:r w:rsidR="00436A36">
        <w:t xml:space="preserve"> will be i</w:t>
      </w:r>
      <w:r w:rsidR="00C90953">
        <w:t xml:space="preserve">n place for continuing learning and development of PHB practitioners, with active tracking of staff progression against </w:t>
      </w:r>
      <w:r w:rsidR="00504C60">
        <w:t xml:space="preserve">the </w:t>
      </w:r>
      <w:r w:rsidR="00C90953">
        <w:t xml:space="preserve">skills matrix (Novice to Expert). The AACC service will require the same level of training and competency in external practitioners, where services are outsourced. </w:t>
      </w:r>
      <w:r w:rsidR="00C43E89">
        <w:t>The AACC service can provide mentoring and support to other ICBs and LA colleagues.</w:t>
      </w:r>
    </w:p>
    <w:p w14:paraId="7C185A63" w14:textId="30B81209" w:rsidR="00C43E89" w:rsidRDefault="00C43E89" w:rsidP="00955E43">
      <w:pPr>
        <w:pStyle w:val="Style2"/>
        <w:ind w:left="1138"/>
        <w:contextualSpacing w:val="0"/>
        <w:jc w:val="both"/>
      </w:pPr>
      <w:r>
        <w:t>The AACC service will ensure c</w:t>
      </w:r>
      <w:r w:rsidR="007F6641">
        <w:t xml:space="preserve">onsistency, equity and transparency in how PHBs are offered to all those eligible for </w:t>
      </w:r>
      <w:r w:rsidR="00043C80">
        <w:t xml:space="preserve">AACC </w:t>
      </w:r>
      <w:r w:rsidR="007F6641">
        <w:t xml:space="preserve">funded home care packages. </w:t>
      </w:r>
      <w:r w:rsidR="000F723D">
        <w:t>A calculator tool will be used to calculate the indicative (‘notional’) budget for a</w:t>
      </w:r>
      <w:r w:rsidR="00AC0034">
        <w:t>ll delivery methods of</w:t>
      </w:r>
      <w:r w:rsidR="000F723D">
        <w:t xml:space="preserve"> PHB</w:t>
      </w:r>
      <w:r w:rsidR="009C2F81">
        <w:t>, based on the care and support plan and advised to the individual</w:t>
      </w:r>
      <w:r w:rsidR="000F723D">
        <w:t xml:space="preserve">. </w:t>
      </w:r>
      <w:r w:rsidR="007F6641">
        <w:t xml:space="preserve">The individual is given a designated point of contact throughout the PHB setup process. </w:t>
      </w:r>
    </w:p>
    <w:p w14:paraId="1006BEF6" w14:textId="2098B445" w:rsidR="00C90953" w:rsidRDefault="007F6641" w:rsidP="00955E43">
      <w:pPr>
        <w:pStyle w:val="Style2"/>
        <w:ind w:left="1138"/>
        <w:contextualSpacing w:val="0"/>
        <w:jc w:val="both"/>
      </w:pPr>
      <w:r>
        <w:t xml:space="preserve">Guidance </w:t>
      </w:r>
      <w:r w:rsidR="00227E04">
        <w:t>and Policy on PHBs is r</w:t>
      </w:r>
      <w:r>
        <w:t>egularly reviewed and updated</w:t>
      </w:r>
      <w:r w:rsidR="00227E04">
        <w:t xml:space="preserve"> and </w:t>
      </w:r>
      <w:r>
        <w:t xml:space="preserve">regular quality assurance/independent reviews </w:t>
      </w:r>
      <w:r w:rsidR="00227E04">
        <w:t xml:space="preserve">are </w:t>
      </w:r>
      <w:r>
        <w:t xml:space="preserve">in place. </w:t>
      </w:r>
    </w:p>
    <w:p w14:paraId="0755347B" w14:textId="1D487C1B" w:rsidR="007F6641" w:rsidRDefault="007F6641" w:rsidP="00955E43">
      <w:pPr>
        <w:pStyle w:val="Style2"/>
        <w:ind w:left="1138"/>
        <w:contextualSpacing w:val="0"/>
        <w:jc w:val="both"/>
      </w:pPr>
      <w:r>
        <w:t xml:space="preserve">The </w:t>
      </w:r>
      <w:r w:rsidR="00C90953">
        <w:t xml:space="preserve">AACC service will </w:t>
      </w:r>
      <w:r>
        <w:t xml:space="preserve">engage collectively with </w:t>
      </w:r>
      <w:r w:rsidR="002148CE">
        <w:t>individual</w:t>
      </w:r>
      <w:r>
        <w:t xml:space="preserve"> forums or networks</w:t>
      </w:r>
      <w:r w:rsidR="00C90953">
        <w:t xml:space="preserve"> in relation to PHBs. </w:t>
      </w:r>
    </w:p>
    <w:p w14:paraId="097047CE" w14:textId="00CDE4C4" w:rsidR="007F6641" w:rsidRDefault="00C90953" w:rsidP="00955E43">
      <w:pPr>
        <w:pStyle w:val="Style2"/>
        <w:ind w:left="1138"/>
        <w:contextualSpacing w:val="0"/>
        <w:jc w:val="both"/>
      </w:pPr>
      <w:r>
        <w:t>The AACC service will have a f</w:t>
      </w:r>
      <w:r w:rsidR="007F6641">
        <w:t xml:space="preserve">ocus on proactive management of clinical and financial risks </w:t>
      </w:r>
      <w:r>
        <w:t xml:space="preserve">in PHBs, </w:t>
      </w:r>
      <w:r w:rsidR="007F6641">
        <w:t xml:space="preserve">with strong governance in place. Financial audits and clinical reviews </w:t>
      </w:r>
      <w:r>
        <w:t xml:space="preserve">are </w:t>
      </w:r>
      <w:r w:rsidR="007F6641">
        <w:t>carried out in line with assessed risk. T</w:t>
      </w:r>
      <w:r>
        <w:t>here is t</w:t>
      </w:r>
      <w:r w:rsidR="007F6641">
        <w:t>imely clawback of underspent budgets and payments that are not in line with agreed personalised care and support plan</w:t>
      </w:r>
      <w:r>
        <w:t>s</w:t>
      </w:r>
      <w:r w:rsidR="007F6641">
        <w:t>.</w:t>
      </w:r>
    </w:p>
    <w:p w14:paraId="28DA86BA" w14:textId="569CF7FE" w:rsidR="008F04F0" w:rsidRPr="0015255F" w:rsidRDefault="007F6641" w:rsidP="00955E43">
      <w:pPr>
        <w:pStyle w:val="Heading3"/>
      </w:pPr>
      <w:bookmarkStart w:id="68" w:name="_Toc110851947"/>
      <w:bookmarkEnd w:id="66"/>
      <w:r>
        <w:t>Brokerage</w:t>
      </w:r>
      <w:r w:rsidR="00FE12BA">
        <w:t xml:space="preserve"> and commissioning</w:t>
      </w:r>
      <w:bookmarkEnd w:id="68"/>
    </w:p>
    <w:p w14:paraId="45EABE90" w14:textId="10BC875B" w:rsidR="00620152" w:rsidRDefault="007F6641" w:rsidP="00955E43">
      <w:pPr>
        <w:pStyle w:val="Style2"/>
        <w:ind w:left="1138"/>
        <w:contextualSpacing w:val="0"/>
        <w:jc w:val="both"/>
      </w:pPr>
      <w:r>
        <w:t>The</w:t>
      </w:r>
      <w:r w:rsidR="00620152">
        <w:t xml:space="preserve"> AACC service will operate a </w:t>
      </w:r>
      <w:r>
        <w:t xml:space="preserve">clear policy to support practitioners when determining </w:t>
      </w:r>
      <w:r w:rsidR="00642116">
        <w:t>an</w:t>
      </w:r>
      <w:r>
        <w:t xml:space="preserve"> </w:t>
      </w:r>
      <w:r w:rsidR="002148CE">
        <w:t>individual</w:t>
      </w:r>
      <w:r>
        <w:t xml:space="preserve">’s care package and placement. The policy allows for exceptionality and provides clear and concise practice guidance. </w:t>
      </w:r>
      <w:r w:rsidR="00620152">
        <w:t xml:space="preserve">Exceptional decisions outside of the standard brokerage and commissioning arrangements are clearly recorded for the audit trail on the electronic case management system.  </w:t>
      </w:r>
    </w:p>
    <w:p w14:paraId="01F7F6E7" w14:textId="2BA16A27" w:rsidR="00EF3651" w:rsidRDefault="00EF3651" w:rsidP="00955E43">
      <w:pPr>
        <w:pStyle w:val="Style2"/>
        <w:ind w:left="1138"/>
        <w:contextualSpacing w:val="0"/>
        <w:jc w:val="both"/>
      </w:pPr>
      <w:r>
        <w:t xml:space="preserve">Provision of a care package </w:t>
      </w:r>
      <w:r w:rsidR="00161F06">
        <w:t xml:space="preserve">to meet the specified outcomes for the individual and support them to achieve their potential </w:t>
      </w:r>
      <w:r>
        <w:t xml:space="preserve">should occur as soon as possible after the eligibility decision is verified. </w:t>
      </w:r>
      <w:r w:rsidR="002148CE">
        <w:t>Individual</w:t>
      </w:r>
      <w:r>
        <w:t xml:space="preserve">s and families should be kept appraised of progress, anticipated timelines and any delays should be promptly notified. </w:t>
      </w:r>
    </w:p>
    <w:p w14:paraId="362DD0DE" w14:textId="6A722791" w:rsidR="00F56D62" w:rsidRDefault="00F56D62" w:rsidP="00955E43">
      <w:pPr>
        <w:pStyle w:val="Style2"/>
        <w:ind w:left="1138"/>
        <w:contextualSpacing w:val="0"/>
        <w:jc w:val="both"/>
      </w:pPr>
      <w:r>
        <w:t xml:space="preserve">Clinicians in the AACC service will determine, in partnership with the </w:t>
      </w:r>
      <w:r w:rsidR="002148CE">
        <w:t>individual</w:t>
      </w:r>
      <w:r>
        <w:t xml:space="preserve"> and family, the best option for placement or domiciliary care provision, dependent on level of needs and associated risk.</w:t>
      </w:r>
      <w:r w:rsidR="001C35F7">
        <w:t xml:space="preserve"> Sensitive conversations may be required to ensure that choices made reflect the </w:t>
      </w:r>
      <w:r w:rsidR="00AD689C">
        <w:t xml:space="preserve">assessed </w:t>
      </w:r>
      <w:r w:rsidR="001C35F7">
        <w:t xml:space="preserve">clinical needs and risks as well as </w:t>
      </w:r>
      <w:r w:rsidR="00AD689C">
        <w:t xml:space="preserve">the </w:t>
      </w:r>
      <w:r w:rsidR="001C35F7">
        <w:t xml:space="preserve">equity </w:t>
      </w:r>
      <w:r w:rsidR="00AD689C">
        <w:t xml:space="preserve">(considering the entire cohort of </w:t>
      </w:r>
      <w:r w:rsidR="00EF3651">
        <w:t>NHS-</w:t>
      </w:r>
      <w:r w:rsidR="00AD689C">
        <w:t xml:space="preserve">funded </w:t>
      </w:r>
      <w:r w:rsidR="002148CE">
        <w:t>individual</w:t>
      </w:r>
      <w:r w:rsidR="00AD689C">
        <w:t xml:space="preserve">s) </w:t>
      </w:r>
      <w:r w:rsidR="001C35F7">
        <w:t xml:space="preserve">and sustainability of the requested care package. </w:t>
      </w:r>
      <w:r>
        <w:t xml:space="preserve"> </w:t>
      </w:r>
    </w:p>
    <w:p w14:paraId="72293F1D" w14:textId="3864D7DE" w:rsidR="00620152" w:rsidRDefault="002148CE" w:rsidP="00955E43">
      <w:pPr>
        <w:pStyle w:val="Style2"/>
        <w:ind w:left="1138"/>
        <w:contextualSpacing w:val="0"/>
        <w:jc w:val="both"/>
      </w:pPr>
      <w:r>
        <w:t>Individual</w:t>
      </w:r>
      <w:r w:rsidR="007F6641">
        <w:t xml:space="preserve">s and family members are made aware of </w:t>
      </w:r>
      <w:r w:rsidR="00620152">
        <w:t xml:space="preserve">all available </w:t>
      </w:r>
      <w:r w:rsidR="007F6641">
        <w:t xml:space="preserve">options </w:t>
      </w:r>
      <w:r w:rsidR="00620152">
        <w:t xml:space="preserve">for placements or home care providers. Where possible, </w:t>
      </w:r>
      <w:r>
        <w:t>individual</w:t>
      </w:r>
      <w:r w:rsidR="00620152">
        <w:t>s / families will be encouraged to visit care homes and to meet with representatives of proposed domiciliary care providers ahead of making a decision.</w:t>
      </w:r>
    </w:p>
    <w:p w14:paraId="584D646C" w14:textId="0FBA3299" w:rsidR="00E35A51" w:rsidRDefault="00E35A51" w:rsidP="00955E43">
      <w:pPr>
        <w:pStyle w:val="Style2"/>
        <w:ind w:left="1138"/>
        <w:contextualSpacing w:val="0"/>
        <w:jc w:val="both"/>
      </w:pPr>
      <w:r>
        <w:t xml:space="preserve">CYPCC case funding arrangements will be agreed via a Multiagency panel (held at least monthly) comprising representatives from Health, </w:t>
      </w:r>
      <w:r w:rsidR="00435EC8">
        <w:t xml:space="preserve">Social </w:t>
      </w:r>
      <w:r w:rsidR="00642116">
        <w:t>care and</w:t>
      </w:r>
      <w:r>
        <w:t xml:space="preserve"> Education. </w:t>
      </w:r>
      <w:r w:rsidRPr="00955E43">
        <w:t>Assessed recommendations and respective costed care package options are presented and considered to determine an appropriate multi-agency package of support.</w:t>
      </w:r>
      <w:r>
        <w:t xml:space="preserve">  </w:t>
      </w:r>
    </w:p>
    <w:p w14:paraId="0471C0DE" w14:textId="7533CDFA" w:rsidR="00485C1F" w:rsidRDefault="00485C1F" w:rsidP="00955E43">
      <w:pPr>
        <w:pStyle w:val="Style2"/>
        <w:ind w:left="1138"/>
        <w:contextualSpacing w:val="0"/>
        <w:jc w:val="both"/>
      </w:pPr>
      <w:r>
        <w:t xml:space="preserve">The fundamental principle for agreeing a CYPCC care package is the full participation of the parent/carer and the individual at all times. </w:t>
      </w:r>
      <w:r w:rsidR="00545095">
        <w:t xml:space="preserve">This includes involvement in recruitment and appropriate training to ensure the package can be safely and sustainably implemented. </w:t>
      </w:r>
      <w:r>
        <w:t xml:space="preserve">However, where engagement is </w:t>
      </w:r>
      <w:r w:rsidR="007876A8">
        <w:t xml:space="preserve">of concern, this will not prevent appropriate risk assessments etc from being undertaken to identify a safe and sustainable offer and/or to ensure safety in cases where a package of care is declined.   </w:t>
      </w:r>
      <w:r>
        <w:t xml:space="preserve"> </w:t>
      </w:r>
    </w:p>
    <w:p w14:paraId="2000AD81" w14:textId="5F71EB13" w:rsidR="00620152" w:rsidRDefault="002148CE" w:rsidP="00955E43">
      <w:pPr>
        <w:pStyle w:val="Style2"/>
        <w:ind w:left="1138"/>
        <w:contextualSpacing w:val="0"/>
        <w:jc w:val="both"/>
      </w:pPr>
      <w:r>
        <w:t>Individual</w:t>
      </w:r>
      <w:r w:rsidR="00620152">
        <w:t xml:space="preserve">s and families are made aware of their rights to have care (and accommodation in a care home) fully funded </w:t>
      </w:r>
      <w:r w:rsidR="00F56D62">
        <w:t xml:space="preserve">by the NHS if eligible for CHC. </w:t>
      </w:r>
      <w:r w:rsidR="00620152">
        <w:t xml:space="preserve">‘Lifestyle choice’ charges levied by care homes for additional services that are outside of an individual’s assessed care and accommodation needs </w:t>
      </w:r>
      <w:r w:rsidR="00F56D62">
        <w:t xml:space="preserve">will not be funded by the ICB. However, where it is not possible to separately identify the cost of specific additional services provided by a care home that are over and above what is required to meet the </w:t>
      </w:r>
      <w:r>
        <w:t>individual</w:t>
      </w:r>
      <w:r w:rsidR="00F56D62">
        <w:t xml:space="preserve">’s care and accommodation needs, the ICB will pay the full fee. </w:t>
      </w:r>
    </w:p>
    <w:p w14:paraId="47BCFC77" w14:textId="30543077" w:rsidR="005E62A4" w:rsidRDefault="005E62A4" w:rsidP="00955E43">
      <w:pPr>
        <w:pStyle w:val="Style2"/>
        <w:ind w:left="1138"/>
        <w:contextualSpacing w:val="0"/>
        <w:jc w:val="both"/>
      </w:pPr>
      <w:r>
        <w:t xml:space="preserve">Care homes are expected to gain consent to share information with the AACC service, relating to additional charges applied to any individual who is </w:t>
      </w:r>
      <w:r w:rsidR="00642116">
        <w:t>fully funded</w:t>
      </w:r>
      <w:r>
        <w:t xml:space="preserve"> under CHC (not FNC). While such arrangements are private between the home and the individual, transparency is required in order for the service to ensure that the ICB is fulfilling its legal duty to fund for all assessed care needs. </w:t>
      </w:r>
    </w:p>
    <w:p w14:paraId="07347EE7" w14:textId="28D402AC" w:rsidR="002E4D2D" w:rsidRDefault="000329F8" w:rsidP="00955E43">
      <w:pPr>
        <w:pStyle w:val="Style2"/>
        <w:ind w:left="1138"/>
        <w:contextualSpacing w:val="0"/>
        <w:jc w:val="both"/>
      </w:pPr>
      <w:r>
        <w:t xml:space="preserve">A list of negotiated prices for standard care home placements will be issued to brokerage staff (and acute hospital Integrated Discharge Teams who are commissioning care packages for Discharge to Assess), with a clear priority order for seeking placements. </w:t>
      </w:r>
      <w:r w:rsidR="002E4D2D">
        <w:t xml:space="preserve">All placement costings provided by care homes must have a complete and transparent breakdown of all costs.  </w:t>
      </w:r>
    </w:p>
    <w:p w14:paraId="5C79ADC6" w14:textId="68775839" w:rsidR="00735A37" w:rsidRDefault="00735A37" w:rsidP="00955E43">
      <w:pPr>
        <w:pStyle w:val="Style2"/>
        <w:ind w:left="1138"/>
        <w:contextualSpacing w:val="0"/>
        <w:jc w:val="both"/>
      </w:pPr>
      <w:r>
        <w:t>Providers who are contracted with the ICB and LA on the Integrated Residential and Nursing (IRN) Framework (Essex County Council and partner organisations) will be prioritised. While priority is based on placement cost, packages will not necessarily be commissioned in order of least expensive first, as the provider must have capacity, be registered for and able to meet the needs of the individual.</w:t>
      </w:r>
    </w:p>
    <w:p w14:paraId="2EF687A2" w14:textId="45807772" w:rsidR="000329F8" w:rsidRDefault="00735A37" w:rsidP="00955E43">
      <w:pPr>
        <w:pStyle w:val="Style2"/>
        <w:ind w:left="1138"/>
        <w:contextualSpacing w:val="0"/>
        <w:jc w:val="both"/>
      </w:pPr>
      <w:r>
        <w:t xml:space="preserve">For ‘out of area’ placements in care homes, the AACC service will contact the ICB in the locality of the proposed placement, to check for the locally agreed costing for the placement, against which the cost will be negotiated, and any quality assurance concerns that may be known. Where there are known quality / safeguarding issues, the decision to commission </w:t>
      </w:r>
      <w:r w:rsidR="00642116">
        <w:t>a</w:t>
      </w:r>
      <w:r>
        <w:t xml:space="preserve"> placement in that home will be escalated to senior management for decision.    </w:t>
      </w:r>
    </w:p>
    <w:p w14:paraId="401A2964" w14:textId="6C732A1A" w:rsidR="00735A37" w:rsidRDefault="00735A37" w:rsidP="00955E43">
      <w:pPr>
        <w:pStyle w:val="Style2"/>
        <w:ind w:left="1138"/>
        <w:contextualSpacing w:val="0"/>
        <w:jc w:val="both"/>
      </w:pPr>
      <w:r>
        <w:t xml:space="preserve">For specialist placements, close liaison with other ICBs and LAs is necessary, to ensure that pricing remains consistent, regardless of the commissioning organisation. </w:t>
      </w:r>
    </w:p>
    <w:p w14:paraId="2ABAB486" w14:textId="1923118C" w:rsidR="00432EB3" w:rsidRDefault="00432EB3" w:rsidP="00955E43">
      <w:pPr>
        <w:pStyle w:val="Style2"/>
        <w:ind w:left="1138"/>
        <w:contextualSpacing w:val="0"/>
        <w:jc w:val="both"/>
      </w:pPr>
      <w:r>
        <w:t xml:space="preserve">Where an individual already in receipt of a care package or Personal Budget funded by social care or jointly with the NHS becomes fully eligible for CHC, the AACC service will seek to take over the package in situ. This maintains service continuity for the </w:t>
      </w:r>
      <w:r w:rsidR="002148CE">
        <w:t>individual</w:t>
      </w:r>
      <w:r>
        <w:t>. However, this is on the proviso that the package remains appropriate to safely meet the individual’s assessed needs</w:t>
      </w:r>
      <w:r w:rsidR="00373BB4">
        <w:t xml:space="preserve"> and that the provider is registered with the CQC</w:t>
      </w:r>
      <w:r>
        <w:t xml:space="preserve">.  </w:t>
      </w:r>
    </w:p>
    <w:p w14:paraId="53D8CFDD" w14:textId="7164E320" w:rsidR="00BB434D" w:rsidRDefault="000329F8" w:rsidP="00955E43">
      <w:pPr>
        <w:pStyle w:val="Style2"/>
        <w:ind w:left="1138"/>
        <w:contextualSpacing w:val="0"/>
        <w:jc w:val="both"/>
      </w:pPr>
      <w:r>
        <w:t xml:space="preserve">A calculator </w:t>
      </w:r>
      <w:r w:rsidR="000F723D">
        <w:t xml:space="preserve">tool </w:t>
      </w:r>
      <w:r>
        <w:t>will be used to calculate the costs of delivery of domiciliary care packages</w:t>
      </w:r>
      <w:r w:rsidR="00CA06C5">
        <w:t>, where the ICB is the commissioner.</w:t>
      </w:r>
      <w:r>
        <w:t xml:space="preserve"> </w:t>
      </w:r>
      <w:r w:rsidR="00735A37">
        <w:t xml:space="preserve">The prices in the calculator tool will be </w:t>
      </w:r>
      <w:r>
        <w:t xml:space="preserve">based on the agreed (and annually uplifted) domiciliary care rates for the providers on the ICB’s domiciliary provider framework and will be used to negotiate prices where an ‘off-framework’ provider is used.   </w:t>
      </w:r>
    </w:p>
    <w:p w14:paraId="2D804862" w14:textId="466A3677" w:rsidR="001C2724" w:rsidRDefault="00BB434D" w:rsidP="00955E43">
      <w:pPr>
        <w:pStyle w:val="Style2"/>
        <w:ind w:left="1138"/>
        <w:contextualSpacing w:val="0"/>
        <w:jc w:val="both"/>
      </w:pPr>
      <w:r>
        <w:t>A Financial Authorisation Process (FAP) will be implemented</w:t>
      </w:r>
      <w:r w:rsidR="001C2724">
        <w:t>:</w:t>
      </w:r>
    </w:p>
    <w:p w14:paraId="10197EA6" w14:textId="61AADE7D" w:rsidR="0089357D" w:rsidRDefault="001C2724" w:rsidP="00AD335F">
      <w:pPr>
        <w:pStyle w:val="ListParagraph"/>
        <w:numPr>
          <w:ilvl w:val="0"/>
          <w:numId w:val="16"/>
        </w:numPr>
        <w:ind w:left="1560" w:hanging="426"/>
        <w:jc w:val="both"/>
      </w:pPr>
      <w:r>
        <w:t>F</w:t>
      </w:r>
      <w:r w:rsidR="00BB434D">
        <w:t xml:space="preserve">or all cases where </w:t>
      </w:r>
      <w:r>
        <w:t xml:space="preserve">care </w:t>
      </w:r>
      <w:r w:rsidR="00BB434D">
        <w:t xml:space="preserve">provision </w:t>
      </w:r>
      <w:r>
        <w:t xml:space="preserve">is proposed to be delivered </w:t>
      </w:r>
      <w:r w:rsidR="00BB434D">
        <w:t xml:space="preserve">by any provider not on </w:t>
      </w:r>
      <w:r>
        <w:t xml:space="preserve">a </w:t>
      </w:r>
      <w:r w:rsidR="00BB434D">
        <w:t xml:space="preserve">pre-approved </w:t>
      </w:r>
      <w:r>
        <w:t xml:space="preserve">care home or domiciliary care </w:t>
      </w:r>
      <w:r w:rsidR="00BB434D">
        <w:t>Framework</w:t>
      </w:r>
      <w:r>
        <w:t xml:space="preserve"> or pre-negotiated pricing list</w:t>
      </w:r>
      <w:r w:rsidR="0089357D">
        <w:t xml:space="preserve">, or where a provider on those lists requests a different price for the care package than those pre-agreed costings </w:t>
      </w:r>
    </w:p>
    <w:p w14:paraId="18103207" w14:textId="3D1C5164" w:rsidR="001C2724" w:rsidRDefault="0089357D" w:rsidP="00AD335F">
      <w:pPr>
        <w:pStyle w:val="ListParagraph"/>
        <w:numPr>
          <w:ilvl w:val="0"/>
          <w:numId w:val="16"/>
        </w:numPr>
        <w:ind w:left="1560" w:hanging="426"/>
        <w:jc w:val="both"/>
      </w:pPr>
      <w:r>
        <w:t>W</w:t>
      </w:r>
      <w:r w:rsidR="001C2724">
        <w:t>here enhanced care support is also to be commissioned in excess of a standard package of care</w:t>
      </w:r>
    </w:p>
    <w:p w14:paraId="76230CF0" w14:textId="77777777" w:rsidR="0038140E" w:rsidRDefault="0089357D" w:rsidP="00AD335F">
      <w:pPr>
        <w:pStyle w:val="ListParagraph"/>
        <w:numPr>
          <w:ilvl w:val="0"/>
          <w:numId w:val="16"/>
        </w:numPr>
        <w:ind w:left="1560" w:hanging="426"/>
        <w:jc w:val="both"/>
      </w:pPr>
      <w:r>
        <w:t>To agree notional budgets for PHBs</w:t>
      </w:r>
    </w:p>
    <w:p w14:paraId="29EAD92C" w14:textId="75677706" w:rsidR="001C2724" w:rsidRDefault="0038140E" w:rsidP="00AD335F">
      <w:pPr>
        <w:pStyle w:val="ListParagraph"/>
        <w:numPr>
          <w:ilvl w:val="0"/>
          <w:numId w:val="16"/>
        </w:numPr>
        <w:ind w:left="1560" w:hanging="426"/>
        <w:jc w:val="both"/>
      </w:pPr>
      <w:r>
        <w:t>To provide a comparative costing between the cost of providing a person’s care at home or in a care placement, to facilitate equity and choice decisions</w:t>
      </w:r>
      <w:r w:rsidR="001C2724">
        <w:t xml:space="preserve"> </w:t>
      </w:r>
    </w:p>
    <w:p w14:paraId="1D4E0C68" w14:textId="789B38EC" w:rsidR="0038140E" w:rsidRDefault="0038140E" w:rsidP="00955E43">
      <w:pPr>
        <w:pStyle w:val="Style2"/>
        <w:ind w:left="1138"/>
        <w:contextualSpacing w:val="0"/>
        <w:jc w:val="both"/>
      </w:pPr>
      <w:r>
        <w:t xml:space="preserve">Financial authorisation by a senior manager will be required in all cases as above, following agreement </w:t>
      </w:r>
      <w:r w:rsidR="008C3A42">
        <w:t xml:space="preserve">by the Clinical Lead Nurse (or designated deputy) </w:t>
      </w:r>
      <w:r>
        <w:t xml:space="preserve">of the clinical suitability of the </w:t>
      </w:r>
      <w:r w:rsidR="00874654">
        <w:t xml:space="preserve">proposed </w:t>
      </w:r>
      <w:r>
        <w:t>care location</w:t>
      </w:r>
      <w:r w:rsidR="00874654">
        <w:t>.</w:t>
      </w:r>
      <w:r>
        <w:t xml:space="preserve"> </w:t>
      </w:r>
      <w:r>
        <w:tab/>
      </w:r>
    </w:p>
    <w:p w14:paraId="1653DE1E" w14:textId="75E3C0A6" w:rsidR="00291C59" w:rsidRDefault="00291C59" w:rsidP="00955E43">
      <w:pPr>
        <w:pStyle w:val="Style2"/>
        <w:ind w:left="1138"/>
        <w:contextualSpacing w:val="0"/>
        <w:jc w:val="both"/>
      </w:pPr>
      <w:r>
        <w:t xml:space="preserve">Where an individual found eligible </w:t>
      </w:r>
      <w:r w:rsidR="00642116">
        <w:t>for AACC</w:t>
      </w:r>
      <w:r>
        <w:t xml:space="preserve"> is in receipt of a legal medical negligence or accident claim settlement, which may cover a proportion or all of their ongoing needs as a result of this mechanism of injury, it is appropriate for the ICB to request information relating to that judgement and the terms of the settlement, though not the amount of the compensation. This is to ensure that the NHS does not double-fund any individual.   </w:t>
      </w:r>
    </w:p>
    <w:p w14:paraId="66B7F99A" w14:textId="3D629784" w:rsidR="001C35F7" w:rsidRDefault="00043C80" w:rsidP="00955E43">
      <w:pPr>
        <w:pStyle w:val="Style2"/>
        <w:ind w:left="1138"/>
        <w:contextualSpacing w:val="0"/>
        <w:jc w:val="both"/>
      </w:pPr>
      <w:r>
        <w:t xml:space="preserve">The AACC service has </w:t>
      </w:r>
      <w:r w:rsidR="00642116">
        <w:t>a dedicated</w:t>
      </w:r>
      <w:r w:rsidR="007F6641">
        <w:t xml:space="preserve"> brokerage </w:t>
      </w:r>
      <w:r w:rsidR="00642116">
        <w:t>team in</w:t>
      </w:r>
      <w:r w:rsidR="007F6641">
        <w:t xml:space="preserve"> place</w:t>
      </w:r>
      <w:r w:rsidR="001C35F7">
        <w:t>, with the appropriate skill mix</w:t>
      </w:r>
      <w:r w:rsidR="007F6641">
        <w:t xml:space="preserve"> </w:t>
      </w:r>
      <w:r w:rsidR="00F56D62">
        <w:t xml:space="preserve">and </w:t>
      </w:r>
      <w:r w:rsidR="001C35F7">
        <w:t xml:space="preserve">is </w:t>
      </w:r>
      <w:r w:rsidR="00F56D62">
        <w:t xml:space="preserve">staffed </w:t>
      </w:r>
      <w:r w:rsidR="007F6641">
        <w:t xml:space="preserve">at an appropriate scale for the volume of </w:t>
      </w:r>
      <w:r w:rsidR="00F56D62">
        <w:t xml:space="preserve">care packages requiring brokering. </w:t>
      </w:r>
      <w:r w:rsidR="00967C46">
        <w:t xml:space="preserve">The brokerage team is able to negotiate and influence suppliers to achieve best value, brokering placements in a timely way that matches the level of need and provides value for money. The team is resourced to be able to balance urgent requests and to manage and mitigate out of area placements. </w:t>
      </w:r>
    </w:p>
    <w:p w14:paraId="2B64DB8B" w14:textId="0A5B7C7F" w:rsidR="001C35F7" w:rsidRDefault="001C35F7" w:rsidP="00955E43">
      <w:pPr>
        <w:pStyle w:val="Style2"/>
        <w:ind w:left="1138"/>
        <w:contextualSpacing w:val="0"/>
        <w:jc w:val="both"/>
      </w:pPr>
      <w:r>
        <w:t xml:space="preserve">Ongoing online and other formats for training on resilience, negotiation and market management is provided for brokerage staff and refreshed on a regular basis. </w:t>
      </w:r>
    </w:p>
    <w:p w14:paraId="0333F8CF" w14:textId="72C3C9EF" w:rsidR="00967C46" w:rsidRDefault="001C35F7" w:rsidP="00955E43">
      <w:pPr>
        <w:pStyle w:val="Style2"/>
        <w:ind w:left="1138"/>
        <w:contextualSpacing w:val="0"/>
        <w:jc w:val="both"/>
      </w:pPr>
      <w:r>
        <w:t xml:space="preserve">A clearly defined operating model is in place, </w:t>
      </w:r>
      <w:r w:rsidR="00967C46">
        <w:t xml:space="preserve">with the brokerage team actively supporting and inputting into market management, shaping, sustainability and strategic commissioning. The model includes a </w:t>
      </w:r>
      <w:r>
        <w:t>future state vision and roadmap to full integration</w:t>
      </w:r>
      <w:r w:rsidR="00967C46">
        <w:t xml:space="preserve"> with LA partners, using t</w:t>
      </w:r>
      <w:r>
        <w:t>he l</w:t>
      </w:r>
      <w:r w:rsidR="007F6641">
        <w:t>atest available market intelligence</w:t>
      </w:r>
      <w:r>
        <w:t xml:space="preserve"> a</w:t>
      </w:r>
      <w:r w:rsidR="00967C46">
        <w:t>nd</w:t>
      </w:r>
      <w:r>
        <w:t xml:space="preserve"> </w:t>
      </w:r>
      <w:r w:rsidR="00967C46">
        <w:t xml:space="preserve">joint </w:t>
      </w:r>
      <w:r>
        <w:t xml:space="preserve">working with LAs and other partners, in benchmarking, negotiating and contracting for best value in commissioning care provision.  </w:t>
      </w:r>
      <w:r w:rsidR="007F6641">
        <w:t xml:space="preserve"> </w:t>
      </w:r>
    </w:p>
    <w:p w14:paraId="2AB49785" w14:textId="5C26BFB2" w:rsidR="00967C46" w:rsidRDefault="007F6641" w:rsidP="00955E43">
      <w:pPr>
        <w:pStyle w:val="Style2"/>
        <w:ind w:left="1138"/>
        <w:contextualSpacing w:val="0"/>
        <w:jc w:val="both"/>
      </w:pPr>
      <w:r>
        <w:t xml:space="preserve">Governance is in place and is actively used to ensure brokerage of all placements is in line with market management strategy and represents value for money. </w:t>
      </w:r>
      <w:r w:rsidR="00967C46">
        <w:t xml:space="preserve">The </w:t>
      </w:r>
      <w:r>
        <w:t xml:space="preserve">multidisciplinary </w:t>
      </w:r>
      <w:r w:rsidR="00967C46">
        <w:t xml:space="preserve">AACC team </w:t>
      </w:r>
      <w:r>
        <w:t xml:space="preserve">actively supports </w:t>
      </w:r>
      <w:r w:rsidR="00967C46">
        <w:t xml:space="preserve">its </w:t>
      </w:r>
      <w:r>
        <w:t xml:space="preserve">brokerage team to identify viable placement options to meet complex care needs. </w:t>
      </w:r>
    </w:p>
    <w:p w14:paraId="53AB29C9" w14:textId="559502D4" w:rsidR="005B5D86" w:rsidRDefault="005B5D86" w:rsidP="00955E43">
      <w:pPr>
        <w:pStyle w:val="Style2"/>
        <w:ind w:left="1138"/>
        <w:contextualSpacing w:val="0"/>
        <w:jc w:val="both"/>
      </w:pPr>
      <w:r>
        <w:t xml:space="preserve">Where more than one provider is commissioned to provide elements of a single care package, clear governance arrangements must be put in place, identifying one provider as the ‘lead provider’.  </w:t>
      </w:r>
    </w:p>
    <w:p w14:paraId="21317352" w14:textId="509A5FD3" w:rsidR="00967C46" w:rsidRDefault="007F6641" w:rsidP="00955E43">
      <w:pPr>
        <w:pStyle w:val="Style2"/>
        <w:ind w:left="1138"/>
        <w:contextualSpacing w:val="0"/>
        <w:jc w:val="both"/>
      </w:pPr>
      <w:r>
        <w:t>Comprehensive provider information is actively maintained and readily accessible. It is available in real time and is shared with the Local Authority</w:t>
      </w:r>
      <w:r w:rsidR="00967C46">
        <w:t xml:space="preserve">, via the joint health and social care nursing &amp; residential home and domiciliary care provider monitoring hubs. Provider information is actively used to inform all placement and commissioning decisions which is shared with the Providers to aid Market development. </w:t>
      </w:r>
    </w:p>
    <w:p w14:paraId="1AD8F8AA" w14:textId="4D5AEF34" w:rsidR="00373BB4" w:rsidRDefault="00373BB4" w:rsidP="00955E43">
      <w:pPr>
        <w:pStyle w:val="Style2"/>
        <w:ind w:left="1138"/>
        <w:contextualSpacing w:val="0"/>
        <w:jc w:val="both"/>
      </w:pPr>
      <w:r>
        <w:t xml:space="preserve">All commissioned providers are required to have CQC registration. This requirement extends to any sub-contracting arrangements that providers may make with other agencies to fulfil care packages. For example, engaging staff via an agency that is not registered with the CQC to work in a care home or on a domiciliary care package is not supported by the ICB.  </w:t>
      </w:r>
    </w:p>
    <w:p w14:paraId="5A6964FF" w14:textId="349777A8" w:rsidR="009463FD" w:rsidRDefault="00373BB4" w:rsidP="00955E43">
      <w:pPr>
        <w:pStyle w:val="Style2"/>
        <w:ind w:left="1138"/>
        <w:contextualSpacing w:val="0"/>
        <w:jc w:val="both"/>
      </w:pPr>
      <w:r>
        <w:t>N</w:t>
      </w:r>
      <w:r w:rsidR="009463FD">
        <w:t xml:space="preserve">ew providers that have registered with but have not yet been inspected by the Care Quality Commission (CQC) may be commissioned to provide care, with appropriate assurance in place from local intelligence such as assurance of no </w:t>
      </w:r>
      <w:r w:rsidR="00CA06C5">
        <w:t xml:space="preserve">substantiated </w:t>
      </w:r>
      <w:r w:rsidR="009463FD">
        <w:t xml:space="preserve">safeguarding referrals received by the LA for that provider, and/or quality assurance visits by the ICB or LA quality teams. </w:t>
      </w:r>
    </w:p>
    <w:p w14:paraId="4B5258BC" w14:textId="31D632BC" w:rsidR="00071E03" w:rsidRDefault="00071E03" w:rsidP="00955E43">
      <w:pPr>
        <w:pStyle w:val="Style2"/>
        <w:ind w:left="1138"/>
        <w:contextualSpacing w:val="0"/>
        <w:jc w:val="both"/>
      </w:pPr>
      <w:r>
        <w:t xml:space="preserve">Providers with a </w:t>
      </w:r>
      <w:r w:rsidR="009463FD">
        <w:t xml:space="preserve">CQC </w:t>
      </w:r>
      <w:r>
        <w:t>rating of ‘Inadequate’ overall will not be used by the service until re-inspected and the rating increased</w:t>
      </w:r>
      <w:r w:rsidR="009463FD">
        <w:t xml:space="preserve">. </w:t>
      </w:r>
      <w:r>
        <w:t xml:space="preserve">Where a provider is rated ‘Inadequate’ in one or more of the 5 CQC inspection domains, but is not rated ‘Inadequate’ overall, the ICB </w:t>
      </w:r>
      <w:r w:rsidR="009463FD">
        <w:t>may use the provider at its discretion, incorporating local intelligence for assurance in that domain and only when CQC have advised the ICB that agreed remedial plans have been completed to their satisfaction.</w:t>
      </w:r>
    </w:p>
    <w:p w14:paraId="0CAED155" w14:textId="016533D0" w:rsidR="009463FD" w:rsidRDefault="009463FD" w:rsidP="00955E43">
      <w:pPr>
        <w:pStyle w:val="Style2"/>
        <w:ind w:left="1138"/>
        <w:contextualSpacing w:val="0"/>
        <w:jc w:val="both"/>
      </w:pPr>
      <w:r>
        <w:t xml:space="preserve">Where a provider has an overall CQC rating of ‘Inadequate’, the AACC service will advise any </w:t>
      </w:r>
      <w:r w:rsidR="002148CE">
        <w:t>individual</w:t>
      </w:r>
      <w:r>
        <w:t xml:space="preserve"> who is in receipt of care from that provider and offer the option to change provider if they so wish.</w:t>
      </w:r>
    </w:p>
    <w:p w14:paraId="1E24567E" w14:textId="22815A0D" w:rsidR="00CA06C5" w:rsidRDefault="00967C46" w:rsidP="00955E43">
      <w:pPr>
        <w:pStyle w:val="Style2"/>
        <w:ind w:left="1138"/>
        <w:contextualSpacing w:val="0"/>
        <w:jc w:val="both"/>
      </w:pPr>
      <w:r>
        <w:t>A</w:t>
      </w:r>
      <w:r w:rsidR="005D241B">
        <w:t xml:space="preserve"> funding agreement is issued for care provider agreement and signature following completion of negotiation and brokerage of a care package. The agreement specifies the exact service to be delivered and is accompanied by a service specification and contract. For domiciliary care packages, the number of staff</w:t>
      </w:r>
      <w:r w:rsidR="00304DCD">
        <w:t>, the level of need</w:t>
      </w:r>
      <w:r w:rsidR="005D241B">
        <w:t xml:space="preserve"> </w:t>
      </w:r>
      <w:r w:rsidR="00304DCD">
        <w:t xml:space="preserve">tariff </w:t>
      </w:r>
      <w:r w:rsidR="005D241B">
        <w:t xml:space="preserve">and the timing of carer shifts and drop-in visits will be specified in the funding agreement. </w:t>
      </w:r>
      <w:r w:rsidR="00D022B0">
        <w:t xml:space="preserve"> </w:t>
      </w:r>
    </w:p>
    <w:p w14:paraId="1F62832E" w14:textId="576873FF" w:rsidR="00D022B0" w:rsidRPr="00955E43" w:rsidRDefault="00D022B0" w:rsidP="00955E43">
      <w:pPr>
        <w:pStyle w:val="Style2"/>
        <w:ind w:left="1138"/>
        <w:contextualSpacing w:val="0"/>
        <w:jc w:val="both"/>
      </w:pPr>
      <w:r>
        <w:t xml:space="preserve">A Home Agreement will be provided for </w:t>
      </w:r>
      <w:r w:rsidR="002148CE">
        <w:t>individual</w:t>
      </w:r>
      <w:r>
        <w:t xml:space="preserve">s and their family to define expectations of the </w:t>
      </w:r>
      <w:r w:rsidRPr="00955E43">
        <w:t>support delivered by domiciliary care working in their home or community.</w:t>
      </w:r>
    </w:p>
    <w:p w14:paraId="44385744" w14:textId="5D36E9B8" w:rsidR="007F6641" w:rsidRDefault="005D241B" w:rsidP="00955E43">
      <w:pPr>
        <w:pStyle w:val="Style2"/>
        <w:ind w:left="1138"/>
        <w:contextualSpacing w:val="0"/>
        <w:jc w:val="both"/>
      </w:pPr>
      <w:r>
        <w:t>For all packages and placements, a</w:t>
      </w:r>
      <w:r w:rsidR="00967C46">
        <w:t xml:space="preserve">n </w:t>
      </w:r>
      <w:r w:rsidR="007F6641">
        <w:t>NHS Contract or Joint Health and Social Care Framework Contract (Sec</w:t>
      </w:r>
      <w:r w:rsidR="00416C21">
        <w:t>tion</w:t>
      </w:r>
      <w:r w:rsidR="007F6641">
        <w:t xml:space="preserve"> 75 agreement) </w:t>
      </w:r>
      <w:r w:rsidR="00CA06C5">
        <w:t xml:space="preserve">will be </w:t>
      </w:r>
      <w:r w:rsidR="007F6641">
        <w:t>in place</w:t>
      </w:r>
      <w:r w:rsidR="00CA06C5">
        <w:t>,</w:t>
      </w:r>
      <w:r w:rsidR="007F6641">
        <w:t xml:space="preserve"> with clear KPIs and </w:t>
      </w:r>
      <w:r w:rsidR="00D9794C">
        <w:t>per</w:t>
      </w:r>
      <w:r w:rsidR="007F6641">
        <w:t xml:space="preserve">formance reporting that is monitored via </w:t>
      </w:r>
      <w:r w:rsidR="00CA06C5">
        <w:t xml:space="preserve">submission of assurance information and, where necessary, </w:t>
      </w:r>
      <w:r w:rsidR="00416C21">
        <w:t>c</w:t>
      </w:r>
      <w:r w:rsidR="007F6641">
        <w:t xml:space="preserve">ontractual </w:t>
      </w:r>
      <w:r w:rsidR="00416C21">
        <w:t>m</w:t>
      </w:r>
      <w:r w:rsidR="007F6641">
        <w:t>eetings with the Provider</w:t>
      </w:r>
      <w:r>
        <w:t xml:space="preserve">. </w:t>
      </w:r>
    </w:p>
    <w:p w14:paraId="00C9F8F1" w14:textId="3600F643" w:rsidR="00017123" w:rsidRPr="0015255F" w:rsidRDefault="00017123" w:rsidP="00955E43">
      <w:pPr>
        <w:pStyle w:val="Heading3"/>
      </w:pPr>
      <w:bookmarkStart w:id="69" w:name="_Toc110851948"/>
      <w:r>
        <w:t>Equity &amp; Choice</w:t>
      </w:r>
      <w:bookmarkEnd w:id="69"/>
    </w:p>
    <w:p w14:paraId="535F768E" w14:textId="56A1743B" w:rsidR="00087D5F" w:rsidRPr="00955E43" w:rsidRDefault="00017123" w:rsidP="00955E43">
      <w:pPr>
        <w:pStyle w:val="Style2"/>
        <w:ind w:left="1138"/>
        <w:contextualSpacing w:val="0"/>
        <w:jc w:val="both"/>
      </w:pPr>
      <w:r>
        <w:t>The</w:t>
      </w:r>
      <w:r w:rsidRPr="00955E43">
        <w:t xml:space="preserve"> </w:t>
      </w:r>
      <w:r w:rsidR="00087D5F" w:rsidRPr="00955E43">
        <w:t xml:space="preserve">ICB </w:t>
      </w:r>
      <w:r w:rsidRPr="00955E43">
        <w:t xml:space="preserve">has </w:t>
      </w:r>
      <w:r>
        <w:t>a</w:t>
      </w:r>
      <w:r w:rsidRPr="00955E43">
        <w:t xml:space="preserve"> duty </w:t>
      </w:r>
      <w:r>
        <w:t>to</w:t>
      </w:r>
      <w:r w:rsidRPr="00955E43">
        <w:t xml:space="preserve"> meet </w:t>
      </w:r>
      <w:r>
        <w:t>the</w:t>
      </w:r>
      <w:r w:rsidRPr="00955E43">
        <w:t xml:space="preserve"> healthcare</w:t>
      </w:r>
      <w:r>
        <w:t xml:space="preserve"> </w:t>
      </w:r>
      <w:r w:rsidRPr="00955E43">
        <w:t>needs of an</w:t>
      </w:r>
      <w:r>
        <w:t xml:space="preserve"> </w:t>
      </w:r>
      <w:r w:rsidRPr="00955E43">
        <w:t>individual, whilst considerin</w:t>
      </w:r>
      <w:r w:rsidR="002F10FE" w:rsidRPr="00955E43">
        <w:t xml:space="preserve">g </w:t>
      </w:r>
      <w:r>
        <w:t xml:space="preserve">the </w:t>
      </w:r>
      <w:r w:rsidRPr="00955E43">
        <w:t>best use</w:t>
      </w:r>
      <w:r>
        <w:t xml:space="preserve"> </w:t>
      </w:r>
      <w:r w:rsidRPr="00955E43">
        <w:t xml:space="preserve">of resources </w:t>
      </w:r>
      <w:r>
        <w:t>for</w:t>
      </w:r>
      <w:r w:rsidRPr="00955E43">
        <w:t xml:space="preserve"> </w:t>
      </w:r>
      <w:r>
        <w:t xml:space="preserve">the </w:t>
      </w:r>
      <w:r w:rsidRPr="00955E43">
        <w:t>population</w:t>
      </w:r>
      <w:r>
        <w:t xml:space="preserve"> </w:t>
      </w:r>
      <w:r w:rsidRPr="00955E43">
        <w:t xml:space="preserve">it serves. </w:t>
      </w:r>
      <w:r w:rsidR="00CA06C5" w:rsidRPr="00955E43">
        <w:t>C</w:t>
      </w:r>
      <w:r w:rsidRPr="00955E43">
        <w:t>are</w:t>
      </w:r>
      <w:r>
        <w:t xml:space="preserve"> </w:t>
      </w:r>
      <w:r w:rsidRPr="00955E43">
        <w:t>options will</w:t>
      </w:r>
      <w:r>
        <w:t xml:space="preserve"> </w:t>
      </w:r>
      <w:r w:rsidRPr="00955E43">
        <w:t>be</w:t>
      </w:r>
      <w:r>
        <w:t xml:space="preserve"> </w:t>
      </w:r>
      <w:r w:rsidRPr="00955E43">
        <w:t xml:space="preserve">considered </w:t>
      </w:r>
      <w:r>
        <w:t>to</w:t>
      </w:r>
      <w:r w:rsidRPr="00955E43">
        <w:t xml:space="preserve"> meet </w:t>
      </w:r>
      <w:r>
        <w:t>the</w:t>
      </w:r>
      <w:r w:rsidRPr="00955E43">
        <w:t xml:space="preserve"> assessed</w:t>
      </w:r>
      <w:r>
        <w:t xml:space="preserve"> </w:t>
      </w:r>
      <w:r w:rsidRPr="00955E43">
        <w:t>health needs of an</w:t>
      </w:r>
      <w:r>
        <w:t xml:space="preserve"> </w:t>
      </w:r>
      <w:r w:rsidRPr="00955E43">
        <w:t>individual</w:t>
      </w:r>
      <w:r>
        <w:t xml:space="preserve"> </w:t>
      </w:r>
      <w:r w:rsidRPr="00955E43">
        <w:t>who</w:t>
      </w:r>
      <w:r>
        <w:t xml:space="preserve"> </w:t>
      </w:r>
      <w:r w:rsidRPr="00955E43">
        <w:t xml:space="preserve">is eligible </w:t>
      </w:r>
      <w:r>
        <w:t>for</w:t>
      </w:r>
      <w:r w:rsidRPr="00955E43">
        <w:t xml:space="preserve"> </w:t>
      </w:r>
      <w:r w:rsidR="00FB387A" w:rsidRPr="00955E43">
        <w:t xml:space="preserve">health funding and </w:t>
      </w:r>
      <w:r>
        <w:t>the</w:t>
      </w:r>
      <w:r w:rsidRPr="00955E43">
        <w:t xml:space="preserve"> </w:t>
      </w:r>
      <w:r w:rsidR="00FB387A" w:rsidRPr="00955E43">
        <w:t>ICB</w:t>
      </w:r>
      <w:r w:rsidRPr="00955E43">
        <w:t xml:space="preserve"> will</w:t>
      </w:r>
      <w:r>
        <w:t xml:space="preserve"> </w:t>
      </w:r>
      <w:r w:rsidRPr="00955E43">
        <w:t>always consider the</w:t>
      </w:r>
      <w:r>
        <w:t xml:space="preserve"> </w:t>
      </w:r>
      <w:r w:rsidRPr="00955E43">
        <w:t>most cost</w:t>
      </w:r>
      <w:r w:rsidR="00FB387A" w:rsidRPr="00955E43">
        <w:t>-</w:t>
      </w:r>
      <w:r w:rsidRPr="00955E43">
        <w:t>effective</w:t>
      </w:r>
      <w:r>
        <w:t xml:space="preserve"> </w:t>
      </w:r>
      <w:r w:rsidRPr="00955E43">
        <w:t>option</w:t>
      </w:r>
      <w:r>
        <w:t xml:space="preserve"> to</w:t>
      </w:r>
      <w:r w:rsidRPr="00955E43">
        <w:t xml:space="preserve"> meet the</w:t>
      </w:r>
      <w:r>
        <w:t xml:space="preserve"> </w:t>
      </w:r>
      <w:r w:rsidRPr="00955E43">
        <w:t>individual’s needs</w:t>
      </w:r>
      <w:r w:rsidR="002F10FE" w:rsidRPr="00955E43">
        <w:t xml:space="preserve">, taking into account </w:t>
      </w:r>
      <w:r w:rsidR="002F10FE">
        <w:t xml:space="preserve">the </w:t>
      </w:r>
      <w:r w:rsidR="002F10FE" w:rsidRPr="00955E43">
        <w:t>safety, welfare and</w:t>
      </w:r>
      <w:r w:rsidR="002F10FE">
        <w:t xml:space="preserve"> </w:t>
      </w:r>
      <w:r w:rsidR="002F10FE" w:rsidRPr="00955E43">
        <w:t>any potential</w:t>
      </w:r>
      <w:r w:rsidR="002F10FE">
        <w:t xml:space="preserve"> </w:t>
      </w:r>
      <w:r w:rsidR="002F10FE" w:rsidRPr="00955E43">
        <w:t xml:space="preserve">risks </w:t>
      </w:r>
      <w:r w:rsidR="002F10FE">
        <w:t>to</w:t>
      </w:r>
      <w:r w:rsidR="002F10FE" w:rsidRPr="00955E43">
        <w:t xml:space="preserve"> </w:t>
      </w:r>
      <w:r w:rsidR="002F10FE">
        <w:t>the</w:t>
      </w:r>
      <w:r w:rsidR="002F10FE" w:rsidRPr="00955E43">
        <w:t xml:space="preserve"> funded individual</w:t>
      </w:r>
      <w:r w:rsidR="005B333B" w:rsidRPr="00955E43">
        <w:t xml:space="preserve"> or others</w:t>
      </w:r>
      <w:r w:rsidR="002F10FE">
        <w:t xml:space="preserve"> </w:t>
      </w:r>
      <w:r w:rsidR="002F10FE" w:rsidRPr="00955E43">
        <w:t>and</w:t>
      </w:r>
      <w:r w:rsidR="002F10FE">
        <w:t xml:space="preserve"> </w:t>
      </w:r>
      <w:r w:rsidR="002F10FE" w:rsidRPr="00955E43">
        <w:t>care</w:t>
      </w:r>
      <w:r w:rsidR="002F10FE">
        <w:t xml:space="preserve"> </w:t>
      </w:r>
      <w:r w:rsidR="002F10FE" w:rsidRPr="00955E43">
        <w:t xml:space="preserve">providers in </w:t>
      </w:r>
      <w:r w:rsidR="002F10FE">
        <w:t>the</w:t>
      </w:r>
      <w:r w:rsidR="002F10FE" w:rsidRPr="00955E43">
        <w:t xml:space="preserve"> care</w:t>
      </w:r>
      <w:r w:rsidR="002F10FE">
        <w:t xml:space="preserve"> </w:t>
      </w:r>
      <w:r w:rsidR="002F10FE" w:rsidRPr="00955E43">
        <w:t>commissioned.</w:t>
      </w:r>
    </w:p>
    <w:p w14:paraId="1A11BF8A" w14:textId="27EABD2B" w:rsidR="00017123" w:rsidRPr="00955E43" w:rsidRDefault="00017123" w:rsidP="00955E43">
      <w:pPr>
        <w:pStyle w:val="Style2"/>
        <w:ind w:left="1138"/>
        <w:contextualSpacing w:val="0"/>
        <w:jc w:val="both"/>
      </w:pPr>
      <w:r w:rsidRPr="00955E43">
        <w:t>Equality of individuals will</w:t>
      </w:r>
      <w:r>
        <w:t xml:space="preserve"> </w:t>
      </w:r>
      <w:r w:rsidRPr="00955E43">
        <w:t>be</w:t>
      </w:r>
      <w:r>
        <w:t xml:space="preserve"> </w:t>
      </w:r>
      <w:r w:rsidRPr="00955E43">
        <w:t>upheld</w:t>
      </w:r>
      <w:r>
        <w:t xml:space="preserve"> </w:t>
      </w:r>
      <w:r w:rsidRPr="00955E43">
        <w:t>and any agreements will</w:t>
      </w:r>
      <w:r>
        <w:t xml:space="preserve"> </w:t>
      </w:r>
      <w:r w:rsidRPr="00955E43">
        <w:t>not be</w:t>
      </w:r>
      <w:r>
        <w:t xml:space="preserve"> </w:t>
      </w:r>
      <w:r w:rsidRPr="00955E43">
        <w:t>discriminatory</w:t>
      </w:r>
      <w:r w:rsidR="00FB387A" w:rsidRPr="00955E43">
        <w:t>.</w:t>
      </w:r>
    </w:p>
    <w:p w14:paraId="58485C34" w14:textId="7367E5C5" w:rsidR="005B333B" w:rsidRPr="00955E43" w:rsidRDefault="00017123" w:rsidP="00955E43">
      <w:pPr>
        <w:pStyle w:val="Style2"/>
        <w:ind w:left="1138"/>
        <w:contextualSpacing w:val="0"/>
        <w:jc w:val="both"/>
      </w:pPr>
      <w:r w:rsidRPr="00955E43">
        <w:t>Personalisation</w:t>
      </w:r>
      <w:r>
        <w:t xml:space="preserve"> </w:t>
      </w:r>
      <w:r w:rsidR="00F35B41">
        <w:t>and choice are</w:t>
      </w:r>
      <w:r w:rsidRPr="00955E43">
        <w:t xml:space="preserve"> </w:t>
      </w:r>
      <w:r w:rsidR="002A4A81" w:rsidRPr="00955E43">
        <w:t>c</w:t>
      </w:r>
      <w:r w:rsidRPr="00955E43">
        <w:t xml:space="preserve">entral </w:t>
      </w:r>
      <w:r>
        <w:t xml:space="preserve">to </w:t>
      </w:r>
      <w:r w:rsidRPr="00955E43">
        <w:t>decision</w:t>
      </w:r>
      <w:r>
        <w:t xml:space="preserve"> </w:t>
      </w:r>
      <w:r w:rsidRPr="00955E43">
        <w:t xml:space="preserve">making once </w:t>
      </w:r>
      <w:r>
        <w:t>the</w:t>
      </w:r>
      <w:r w:rsidRPr="00955E43">
        <w:t xml:space="preserve"> other principles above</w:t>
      </w:r>
      <w:r>
        <w:t xml:space="preserve"> </w:t>
      </w:r>
      <w:r w:rsidRPr="00955E43">
        <w:t>have</w:t>
      </w:r>
      <w:r>
        <w:t xml:space="preserve"> </w:t>
      </w:r>
      <w:r w:rsidRPr="00955E43">
        <w:t>been</w:t>
      </w:r>
      <w:r>
        <w:t xml:space="preserve"> </w:t>
      </w:r>
      <w:r w:rsidRPr="00955E43">
        <w:t>assured</w:t>
      </w:r>
      <w:r w:rsidR="005B333B" w:rsidRPr="00955E43">
        <w:t xml:space="preserve">. </w:t>
      </w:r>
      <w:r w:rsidR="005B333B">
        <w:t>The</w:t>
      </w:r>
      <w:r w:rsidR="005B333B" w:rsidRPr="00955E43">
        <w:t xml:space="preserve"> process of assessment and decision</w:t>
      </w:r>
      <w:r w:rsidR="005B333B">
        <w:t xml:space="preserve"> </w:t>
      </w:r>
      <w:r w:rsidR="005B333B" w:rsidRPr="00955E43">
        <w:t>making should</w:t>
      </w:r>
      <w:r w:rsidR="005B333B">
        <w:t xml:space="preserve"> </w:t>
      </w:r>
      <w:r w:rsidR="005B333B" w:rsidRPr="00955E43">
        <w:t>be</w:t>
      </w:r>
      <w:r w:rsidR="005B333B">
        <w:t xml:space="preserve"> </w:t>
      </w:r>
      <w:r w:rsidR="005B333B" w:rsidRPr="00955E43">
        <w:t xml:space="preserve">person-centred, with </w:t>
      </w:r>
      <w:r w:rsidR="005B333B">
        <w:t xml:space="preserve">the </w:t>
      </w:r>
      <w:r w:rsidR="005B333B" w:rsidRPr="00955E43">
        <w:t>individual, their perception</w:t>
      </w:r>
      <w:r w:rsidR="005B333B">
        <w:t xml:space="preserve"> </w:t>
      </w:r>
      <w:r w:rsidR="005B333B" w:rsidRPr="00955E43">
        <w:t xml:space="preserve">of their support needs and their preferred models of support at </w:t>
      </w:r>
      <w:r w:rsidR="005B333B">
        <w:t>the</w:t>
      </w:r>
      <w:r w:rsidR="005B333B" w:rsidRPr="00955E43">
        <w:t xml:space="preserve"> heart of the process. T</w:t>
      </w:r>
      <w:r w:rsidR="005B333B">
        <w:t xml:space="preserve">he </w:t>
      </w:r>
      <w:r w:rsidR="005B333B" w:rsidRPr="00955E43">
        <w:t>individual’s wishes and</w:t>
      </w:r>
      <w:r w:rsidR="005B333B">
        <w:t xml:space="preserve"> </w:t>
      </w:r>
      <w:r w:rsidR="005B333B" w:rsidRPr="00955E43">
        <w:t>expectations of how and where</w:t>
      </w:r>
      <w:r w:rsidR="005B333B">
        <w:t xml:space="preserve"> the </w:t>
      </w:r>
      <w:r w:rsidR="005B333B" w:rsidRPr="00955E43">
        <w:t>care</w:t>
      </w:r>
      <w:r w:rsidR="005B333B">
        <w:t xml:space="preserve"> </w:t>
      </w:r>
      <w:r w:rsidR="005B333B" w:rsidRPr="00955E43">
        <w:t>is</w:t>
      </w:r>
      <w:r w:rsidR="00F35B41" w:rsidRPr="00955E43">
        <w:t xml:space="preserve"> </w:t>
      </w:r>
      <w:r w:rsidR="005B333B" w:rsidRPr="00955E43">
        <w:t>delivered</w:t>
      </w:r>
      <w:r w:rsidR="005B333B">
        <w:t xml:space="preserve"> </w:t>
      </w:r>
      <w:r w:rsidR="005B333B" w:rsidRPr="00955E43">
        <w:t>should</w:t>
      </w:r>
      <w:r w:rsidR="005B333B">
        <w:t xml:space="preserve"> </w:t>
      </w:r>
      <w:r w:rsidR="005B333B" w:rsidRPr="00955E43">
        <w:t>be</w:t>
      </w:r>
      <w:r w:rsidR="005B333B">
        <w:t xml:space="preserve"> </w:t>
      </w:r>
      <w:r w:rsidR="005B333B" w:rsidRPr="00955E43">
        <w:t>documented and taken into</w:t>
      </w:r>
      <w:r w:rsidR="005B333B">
        <w:t xml:space="preserve"> </w:t>
      </w:r>
      <w:r w:rsidR="005B333B" w:rsidRPr="00955E43">
        <w:t>account, along with</w:t>
      </w:r>
      <w:r w:rsidR="005B333B">
        <w:t xml:space="preserve"> the</w:t>
      </w:r>
      <w:r w:rsidR="005B333B" w:rsidRPr="00955E43">
        <w:t xml:space="preserve"> risks of different</w:t>
      </w:r>
      <w:r w:rsidR="00F35B41" w:rsidRPr="00955E43">
        <w:t xml:space="preserve"> </w:t>
      </w:r>
      <w:r w:rsidR="005B333B" w:rsidRPr="00955E43">
        <w:t>types of provision</w:t>
      </w:r>
      <w:r w:rsidR="005B333B">
        <w:t xml:space="preserve"> </w:t>
      </w:r>
      <w:r w:rsidR="005B333B" w:rsidRPr="00955E43">
        <w:t>and</w:t>
      </w:r>
      <w:r w:rsidR="005B333B">
        <w:t xml:space="preserve"> </w:t>
      </w:r>
      <w:r w:rsidR="005B333B" w:rsidRPr="00955E43">
        <w:t xml:space="preserve">access </w:t>
      </w:r>
      <w:r w:rsidR="005B333B">
        <w:t>to</w:t>
      </w:r>
      <w:r w:rsidR="005B333B" w:rsidRPr="00955E43">
        <w:t xml:space="preserve"> resources.</w:t>
      </w:r>
    </w:p>
    <w:p w14:paraId="3A3AC128" w14:textId="70373F5E" w:rsidR="00017123" w:rsidRPr="00955E43" w:rsidRDefault="00017123" w:rsidP="00955E43">
      <w:pPr>
        <w:pStyle w:val="Style2"/>
        <w:ind w:left="1138"/>
        <w:contextualSpacing w:val="0"/>
        <w:jc w:val="both"/>
      </w:pPr>
      <w:r>
        <w:t>The</w:t>
      </w:r>
      <w:r w:rsidRPr="00955E43">
        <w:t xml:space="preserve"> </w:t>
      </w:r>
      <w:r w:rsidR="002F10FE">
        <w:t>ICB</w:t>
      </w:r>
      <w:r w:rsidRPr="00955E43">
        <w:t xml:space="preserve"> will </w:t>
      </w:r>
      <w:r>
        <w:t xml:space="preserve">take </w:t>
      </w:r>
      <w:r w:rsidRPr="00955E43">
        <w:t>into consideration</w:t>
      </w:r>
      <w:r>
        <w:t xml:space="preserve"> </w:t>
      </w:r>
      <w:r w:rsidRPr="00955E43">
        <w:t>an</w:t>
      </w:r>
      <w:r>
        <w:t xml:space="preserve"> </w:t>
      </w:r>
      <w:r w:rsidRPr="00955E43">
        <w:t>individual’s views and preferences, including those relating to cultural/religious beliefs. However, there may be situations where</w:t>
      </w:r>
      <w:r>
        <w:t xml:space="preserve"> </w:t>
      </w:r>
      <w:r w:rsidRPr="00955E43">
        <w:t>an individual’s choice</w:t>
      </w:r>
      <w:r>
        <w:t xml:space="preserve"> </w:t>
      </w:r>
      <w:r w:rsidRPr="00955E43">
        <w:t>cannot be agreed</w:t>
      </w:r>
      <w:r>
        <w:t xml:space="preserve"> </w:t>
      </w:r>
      <w:r w:rsidRPr="00955E43">
        <w:t>or met.</w:t>
      </w:r>
    </w:p>
    <w:p w14:paraId="3974413D" w14:textId="6629A416" w:rsidR="00017123" w:rsidRDefault="00043C80" w:rsidP="00955E43">
      <w:pPr>
        <w:pStyle w:val="Style2"/>
        <w:ind w:left="1138"/>
        <w:contextualSpacing w:val="0"/>
        <w:jc w:val="both"/>
      </w:pPr>
      <w:r w:rsidRPr="00955E43">
        <w:t>AACC</w:t>
      </w:r>
      <w:r w:rsidR="00724C9B">
        <w:t xml:space="preserve"> </w:t>
      </w:r>
      <w:r w:rsidR="00017123" w:rsidRPr="00955E43">
        <w:t>can</w:t>
      </w:r>
      <w:r w:rsidR="00017123">
        <w:t xml:space="preserve"> </w:t>
      </w:r>
      <w:r w:rsidR="00017123" w:rsidRPr="00955E43">
        <w:t>be</w:t>
      </w:r>
      <w:r w:rsidR="00017123">
        <w:t xml:space="preserve"> </w:t>
      </w:r>
      <w:r w:rsidR="00017123" w:rsidRPr="00955E43">
        <w:t>provided</w:t>
      </w:r>
      <w:r w:rsidR="00017123">
        <w:t xml:space="preserve"> </w:t>
      </w:r>
      <w:r w:rsidR="00017123" w:rsidRPr="00955E43">
        <w:t>in</w:t>
      </w:r>
      <w:r w:rsidR="00017123">
        <w:t xml:space="preserve"> </w:t>
      </w:r>
      <w:r w:rsidR="00017123" w:rsidRPr="00955E43">
        <w:t xml:space="preserve">any setting. </w:t>
      </w:r>
      <w:r w:rsidR="00017123">
        <w:t>Where a</w:t>
      </w:r>
      <w:r w:rsidR="00304DCD">
        <w:t>n adult</w:t>
      </w:r>
      <w:r w:rsidR="00416C21">
        <w:t xml:space="preserve"> is living</w:t>
      </w:r>
      <w:r w:rsidR="00017123" w:rsidRPr="00955E43">
        <w:t xml:space="preserve"> in</w:t>
      </w:r>
      <w:r w:rsidR="00017123">
        <w:t xml:space="preserve"> </w:t>
      </w:r>
      <w:r w:rsidR="00017123" w:rsidRPr="00955E43">
        <w:t>their own</w:t>
      </w:r>
      <w:r w:rsidR="00017123">
        <w:t xml:space="preserve"> </w:t>
      </w:r>
      <w:r w:rsidR="00017123" w:rsidRPr="00955E43">
        <w:t>home, it means that</w:t>
      </w:r>
      <w:r w:rsidR="00724C9B" w:rsidRPr="00955E43">
        <w:t xml:space="preserve"> </w:t>
      </w:r>
      <w:r w:rsidR="00017123">
        <w:t xml:space="preserve">the </w:t>
      </w:r>
      <w:r w:rsidR="00017123" w:rsidRPr="00955E43">
        <w:t xml:space="preserve">NHS funds all </w:t>
      </w:r>
      <w:r w:rsidR="00017123">
        <w:t xml:space="preserve">the </w:t>
      </w:r>
      <w:r w:rsidR="00017123" w:rsidRPr="00955E43">
        <w:t>care</w:t>
      </w:r>
      <w:r w:rsidR="00017123">
        <w:t xml:space="preserve"> </w:t>
      </w:r>
      <w:r w:rsidR="00017123" w:rsidRPr="00955E43">
        <w:t>and</w:t>
      </w:r>
      <w:r w:rsidR="00017123">
        <w:t xml:space="preserve"> </w:t>
      </w:r>
      <w:r w:rsidR="00017123" w:rsidRPr="00955E43">
        <w:t>support that is required</w:t>
      </w:r>
      <w:r w:rsidR="00017123">
        <w:t xml:space="preserve"> to</w:t>
      </w:r>
      <w:r w:rsidR="00017123" w:rsidRPr="00955E43">
        <w:t xml:space="preserve"> meet their assessed</w:t>
      </w:r>
      <w:r w:rsidR="00017123">
        <w:t xml:space="preserve"> </w:t>
      </w:r>
      <w:r w:rsidR="00017123" w:rsidRPr="00955E43">
        <w:t>health</w:t>
      </w:r>
      <w:r w:rsidR="00017123">
        <w:t xml:space="preserve"> </w:t>
      </w:r>
      <w:r w:rsidR="00017123" w:rsidRPr="00955E43">
        <w:t>and care</w:t>
      </w:r>
      <w:r w:rsidR="00017123">
        <w:t xml:space="preserve"> </w:t>
      </w:r>
      <w:r w:rsidR="00017123" w:rsidRPr="00955E43">
        <w:t>needs. Such</w:t>
      </w:r>
      <w:r w:rsidR="00017123">
        <w:t xml:space="preserve"> </w:t>
      </w:r>
      <w:r w:rsidR="00017123" w:rsidRPr="00955E43">
        <w:t>care may be</w:t>
      </w:r>
      <w:r w:rsidR="00017123">
        <w:t xml:space="preserve"> </w:t>
      </w:r>
      <w:r w:rsidR="00017123" w:rsidRPr="00955E43">
        <w:t>provided</w:t>
      </w:r>
      <w:r w:rsidR="00017123">
        <w:t xml:space="preserve"> </w:t>
      </w:r>
      <w:r w:rsidR="00017123" w:rsidRPr="00955E43">
        <w:t>either within</w:t>
      </w:r>
      <w:r w:rsidR="00017123">
        <w:t xml:space="preserve"> </w:t>
      </w:r>
      <w:r w:rsidR="00017123" w:rsidRPr="00955E43">
        <w:t xml:space="preserve">or outside </w:t>
      </w:r>
      <w:r w:rsidR="00017123">
        <w:t xml:space="preserve">the </w:t>
      </w:r>
      <w:r w:rsidR="00017123" w:rsidRPr="00955E43">
        <w:t>person’s home, and includes primary healthcare</w:t>
      </w:r>
      <w:r w:rsidR="00017123">
        <w:t xml:space="preserve"> </w:t>
      </w:r>
      <w:r w:rsidR="00017123" w:rsidRPr="00955E43">
        <w:t>and community nursing</w:t>
      </w:r>
      <w:r w:rsidR="00017123">
        <w:t xml:space="preserve"> </w:t>
      </w:r>
      <w:r w:rsidR="00017123" w:rsidRPr="00955E43">
        <w:t xml:space="preserve">services, as appropriate </w:t>
      </w:r>
      <w:r w:rsidR="00017123">
        <w:t>to</w:t>
      </w:r>
      <w:r w:rsidR="00017123" w:rsidRPr="00955E43">
        <w:t xml:space="preserve"> their assessment and care</w:t>
      </w:r>
      <w:r w:rsidR="00017123">
        <w:t xml:space="preserve"> </w:t>
      </w:r>
      <w:r w:rsidR="00017123" w:rsidRPr="00955E43">
        <w:t>plan.</w:t>
      </w:r>
      <w:r w:rsidR="002F10FE" w:rsidRPr="00955E43">
        <w:t xml:space="preserve"> </w:t>
      </w:r>
      <w:r w:rsidR="00435EC8" w:rsidRPr="00955E43">
        <w:t>For CYPCC health and care support may be funded by health in partnership with Social care and/or education.</w:t>
      </w:r>
    </w:p>
    <w:p w14:paraId="68B236D2" w14:textId="6688C8AA" w:rsidR="00F17776" w:rsidRPr="00955E43" w:rsidRDefault="00F17776" w:rsidP="00955E43">
      <w:pPr>
        <w:pStyle w:val="Style2"/>
        <w:ind w:left="1138"/>
        <w:contextualSpacing w:val="0"/>
        <w:jc w:val="both"/>
      </w:pPr>
      <w:r w:rsidRPr="00955E43">
        <w:t>Where an</w:t>
      </w:r>
      <w:r>
        <w:t xml:space="preserve"> </w:t>
      </w:r>
      <w:r w:rsidRPr="00955E43">
        <w:t>individual</w:t>
      </w:r>
      <w:r>
        <w:t xml:space="preserve"> </w:t>
      </w:r>
      <w:r w:rsidRPr="00955E43">
        <w:t>has been</w:t>
      </w:r>
      <w:r>
        <w:t xml:space="preserve"> </w:t>
      </w:r>
      <w:r w:rsidRPr="00955E43">
        <w:t>assessed as needing</w:t>
      </w:r>
      <w:r>
        <w:t xml:space="preserve"> a </w:t>
      </w:r>
      <w:r w:rsidRPr="00955E43">
        <w:t>nursing</w:t>
      </w:r>
      <w:r>
        <w:t xml:space="preserve"> </w:t>
      </w:r>
      <w:r w:rsidRPr="00955E43">
        <w:t>home</w:t>
      </w:r>
      <w:r>
        <w:t xml:space="preserve"> </w:t>
      </w:r>
      <w:r w:rsidRPr="00955E43">
        <w:t xml:space="preserve">placement </w:t>
      </w:r>
      <w:r>
        <w:t>the</w:t>
      </w:r>
      <w:r w:rsidRPr="00955E43">
        <w:t xml:space="preserve"> ICB will work with</w:t>
      </w:r>
      <w:r>
        <w:t xml:space="preserve"> the</w:t>
      </w:r>
      <w:r w:rsidRPr="00955E43">
        <w:t xml:space="preserve"> individual</w:t>
      </w:r>
      <w:r>
        <w:t xml:space="preserve"> /representative to </w:t>
      </w:r>
      <w:r w:rsidRPr="00955E43">
        <w:t xml:space="preserve">identify </w:t>
      </w:r>
      <w:r>
        <w:t xml:space="preserve">a choice (where possible) of </w:t>
      </w:r>
      <w:r w:rsidRPr="00955E43">
        <w:t>suitable</w:t>
      </w:r>
      <w:r>
        <w:t xml:space="preserve"> </w:t>
      </w:r>
      <w:r w:rsidRPr="00955E43">
        <w:t>placements (Section 6.1</w:t>
      </w:r>
      <w:r w:rsidR="00014222" w:rsidRPr="00955E43">
        <w:t>7</w:t>
      </w:r>
      <w:r w:rsidRPr="00955E43">
        <w:t xml:space="preserve">).  </w:t>
      </w:r>
    </w:p>
    <w:p w14:paraId="6AE6C850" w14:textId="28871872" w:rsidR="00304DCD" w:rsidRPr="00955E43" w:rsidRDefault="00304DCD" w:rsidP="00955E43">
      <w:pPr>
        <w:pStyle w:val="Style2"/>
        <w:ind w:left="1138"/>
        <w:contextualSpacing w:val="0"/>
        <w:jc w:val="both"/>
      </w:pPr>
      <w:r w:rsidRPr="00955E43">
        <w:t>For CHC individuals living i</w:t>
      </w:r>
      <w:r w:rsidRPr="00014222">
        <w:t xml:space="preserve">n </w:t>
      </w:r>
      <w:r w:rsidRPr="00955E43">
        <w:t>care</w:t>
      </w:r>
      <w:r w:rsidRPr="00014222">
        <w:t xml:space="preserve"> </w:t>
      </w:r>
      <w:r w:rsidRPr="00955E43">
        <w:t>homes (residential</w:t>
      </w:r>
      <w:r w:rsidRPr="00014222">
        <w:t xml:space="preserve"> </w:t>
      </w:r>
      <w:r w:rsidRPr="00955E43">
        <w:t xml:space="preserve">or nursing), </w:t>
      </w:r>
      <w:r w:rsidRPr="00014222">
        <w:t xml:space="preserve">the </w:t>
      </w:r>
      <w:r w:rsidRPr="00955E43">
        <w:t xml:space="preserve">NHS makes </w:t>
      </w:r>
      <w:r w:rsidRPr="00014222">
        <w:t xml:space="preserve">a </w:t>
      </w:r>
      <w:r w:rsidRPr="00955E43">
        <w:t xml:space="preserve">contract with </w:t>
      </w:r>
      <w:r w:rsidRPr="00014222">
        <w:t xml:space="preserve">the </w:t>
      </w:r>
      <w:r w:rsidRPr="00955E43">
        <w:t>care</w:t>
      </w:r>
      <w:r w:rsidRPr="00014222">
        <w:t xml:space="preserve"> </w:t>
      </w:r>
      <w:r w:rsidRPr="00955E43">
        <w:t>home and</w:t>
      </w:r>
      <w:r w:rsidRPr="00014222">
        <w:t xml:space="preserve"> </w:t>
      </w:r>
      <w:r w:rsidRPr="00955E43">
        <w:t xml:space="preserve">pays </w:t>
      </w:r>
      <w:r w:rsidRPr="00014222">
        <w:t>the</w:t>
      </w:r>
      <w:r w:rsidRPr="00955E43">
        <w:t xml:space="preserve"> full </w:t>
      </w:r>
      <w:r w:rsidRPr="00014222">
        <w:t>fees</w:t>
      </w:r>
      <w:r w:rsidRPr="00955E43">
        <w:t xml:space="preserve"> </w:t>
      </w:r>
      <w:r w:rsidRPr="00014222">
        <w:t>for</w:t>
      </w:r>
      <w:r w:rsidRPr="00955E43">
        <w:t xml:space="preserve"> </w:t>
      </w:r>
      <w:r w:rsidRPr="00014222">
        <w:t xml:space="preserve">the </w:t>
      </w:r>
      <w:r w:rsidRPr="00955E43">
        <w:t>person’s accommodation, board</w:t>
      </w:r>
      <w:r w:rsidRPr="00014222">
        <w:t xml:space="preserve"> </w:t>
      </w:r>
      <w:r w:rsidRPr="00955E43">
        <w:t>and care.</w:t>
      </w:r>
    </w:p>
    <w:p w14:paraId="4AD68B9F" w14:textId="61C19C76" w:rsidR="00014222" w:rsidRPr="00955E43" w:rsidRDefault="00F17776" w:rsidP="00955E43">
      <w:pPr>
        <w:pStyle w:val="Style2"/>
        <w:ind w:left="1138"/>
        <w:contextualSpacing w:val="0"/>
        <w:jc w:val="both"/>
      </w:pPr>
      <w:r w:rsidRPr="00955E43">
        <w:t>Where an</w:t>
      </w:r>
      <w:r w:rsidRPr="00014222">
        <w:t xml:space="preserve"> </w:t>
      </w:r>
      <w:r w:rsidRPr="00955E43">
        <w:t xml:space="preserve">individual wishes </w:t>
      </w:r>
      <w:r w:rsidRPr="00014222">
        <w:t>to</w:t>
      </w:r>
      <w:r w:rsidRPr="00955E43">
        <w:t xml:space="preserve"> complement any NHS-funded</w:t>
      </w:r>
      <w:r w:rsidRPr="00014222">
        <w:t xml:space="preserve"> </w:t>
      </w:r>
      <w:r w:rsidRPr="00955E43">
        <w:t>care</w:t>
      </w:r>
      <w:r w:rsidRPr="00014222">
        <w:t xml:space="preserve"> </w:t>
      </w:r>
      <w:r w:rsidRPr="00955E43">
        <w:t xml:space="preserve">package with any privately commissioned service </w:t>
      </w:r>
      <w:r w:rsidRPr="00014222">
        <w:t>to</w:t>
      </w:r>
      <w:r w:rsidRPr="00955E43">
        <w:t xml:space="preserve"> meet their personal</w:t>
      </w:r>
      <w:r w:rsidRPr="00014222">
        <w:t xml:space="preserve"> </w:t>
      </w:r>
      <w:r w:rsidRPr="00955E43">
        <w:t>preferences, they are</w:t>
      </w:r>
      <w:r w:rsidRPr="00014222">
        <w:t xml:space="preserve"> </w:t>
      </w:r>
      <w:r w:rsidRPr="00955E43">
        <w:t xml:space="preserve">at liberty </w:t>
      </w:r>
      <w:r w:rsidRPr="00014222">
        <w:t>to</w:t>
      </w:r>
      <w:r w:rsidRPr="00955E43">
        <w:t xml:space="preserve"> do so. However, </w:t>
      </w:r>
      <w:r w:rsidR="00A34A1D" w:rsidRPr="00955E43">
        <w:t xml:space="preserve">such private arrangements are expected to be entirely separate from the NHS-funded package of care. </w:t>
      </w:r>
      <w:r w:rsidR="00043C80" w:rsidRPr="00955E43">
        <w:t>(</w:t>
      </w:r>
      <w:r w:rsidR="00FC1B55" w:rsidRPr="00955E43">
        <w:t>Section</w:t>
      </w:r>
      <w:r w:rsidR="00043C80" w:rsidRPr="00955E43">
        <w:t xml:space="preserve"> 6.1</w:t>
      </w:r>
      <w:r w:rsidR="00014222" w:rsidRPr="00955E43">
        <w:t>7</w:t>
      </w:r>
      <w:r w:rsidR="00043C80" w:rsidRPr="00955E43">
        <w:t>)</w:t>
      </w:r>
      <w:r w:rsidRPr="00955E43">
        <w:t>.</w:t>
      </w:r>
    </w:p>
    <w:p w14:paraId="3B1ACB1E" w14:textId="5B9C4CE8" w:rsidR="00AA0C4F" w:rsidRPr="00955E43" w:rsidRDefault="00017123" w:rsidP="00955E43">
      <w:pPr>
        <w:pStyle w:val="Style2"/>
        <w:ind w:left="1138"/>
        <w:contextualSpacing w:val="0"/>
        <w:jc w:val="both"/>
      </w:pPr>
      <w:r w:rsidRPr="00AA0C4F">
        <w:t>The</w:t>
      </w:r>
      <w:r w:rsidRPr="00955E43">
        <w:t xml:space="preserve"> </w:t>
      </w:r>
      <w:r w:rsidR="005B333B" w:rsidRPr="00955E43">
        <w:t>ICB</w:t>
      </w:r>
      <w:r w:rsidRPr="00955E43">
        <w:t xml:space="preserve"> will</w:t>
      </w:r>
      <w:r w:rsidRPr="00AA0C4F">
        <w:t xml:space="preserve"> </w:t>
      </w:r>
      <w:r w:rsidRPr="00955E43">
        <w:t>establish</w:t>
      </w:r>
      <w:r w:rsidRPr="00AA0C4F">
        <w:t xml:space="preserve"> a </w:t>
      </w:r>
      <w:r w:rsidRPr="00955E43">
        <w:t>preferred</w:t>
      </w:r>
      <w:r w:rsidRPr="00AA0C4F">
        <w:t xml:space="preserve"> </w:t>
      </w:r>
      <w:r w:rsidRPr="00955E43">
        <w:t xml:space="preserve">provider </w:t>
      </w:r>
      <w:r w:rsidR="00AA0C4F" w:rsidRPr="00955E43">
        <w:t xml:space="preserve">framework for care homes and for domiciliary care agencies, with assessed quality standards and agreed pricing parameters. All providers will have had equal opportunity to join these frameworks and those providers will be given preference when the ICB is seeking care packages. </w:t>
      </w:r>
      <w:r w:rsidR="002148CE" w:rsidRPr="00955E43">
        <w:t>Individual</w:t>
      </w:r>
      <w:r w:rsidR="00AA0C4F" w:rsidRPr="00955E43">
        <w:t>s will be offered a choice of provider from the established frameworks</w:t>
      </w:r>
      <w:r w:rsidR="00F17776" w:rsidRPr="00955E43">
        <w:t xml:space="preserve">, provided those providers can meet their assessed needs and personal preferences. </w:t>
      </w:r>
      <w:r w:rsidR="00AA0C4F" w:rsidRPr="00955E43">
        <w:t xml:space="preserve"> </w:t>
      </w:r>
    </w:p>
    <w:p w14:paraId="40E1189A" w14:textId="163F4BA8" w:rsidR="00AA0C4F" w:rsidRPr="00955E43" w:rsidRDefault="00AA0C4F" w:rsidP="00955E43">
      <w:pPr>
        <w:pStyle w:val="Style2"/>
        <w:ind w:left="1138"/>
        <w:contextualSpacing w:val="0"/>
        <w:jc w:val="both"/>
      </w:pPr>
      <w:r w:rsidRPr="00955E43">
        <w:t xml:space="preserve">The </w:t>
      </w:r>
      <w:r w:rsidR="005B333B" w:rsidRPr="00955E43">
        <w:t>ICB</w:t>
      </w:r>
      <w:r w:rsidR="00017123" w:rsidRPr="00955E43">
        <w:t xml:space="preserve"> may consider care</w:t>
      </w:r>
      <w:r w:rsidR="00017123" w:rsidRPr="00AA0C4F">
        <w:t xml:space="preserve"> </w:t>
      </w:r>
      <w:r w:rsidR="00017123" w:rsidRPr="00955E43">
        <w:t>provision</w:t>
      </w:r>
      <w:r w:rsidR="00017123" w:rsidRPr="00AA0C4F">
        <w:t xml:space="preserve"> </w:t>
      </w:r>
      <w:r w:rsidR="00017123" w:rsidRPr="00955E43">
        <w:t>outside</w:t>
      </w:r>
      <w:r w:rsidR="00017123" w:rsidRPr="00AA0C4F">
        <w:t xml:space="preserve"> </w:t>
      </w:r>
      <w:r w:rsidR="00017123" w:rsidRPr="00955E43">
        <w:t xml:space="preserve">of </w:t>
      </w:r>
      <w:r w:rsidR="00017123" w:rsidRPr="00AA0C4F">
        <w:t xml:space="preserve">the </w:t>
      </w:r>
      <w:r w:rsidR="00017123" w:rsidRPr="00955E43">
        <w:t xml:space="preserve">preferred provider </w:t>
      </w:r>
      <w:r w:rsidRPr="00955E43">
        <w:t xml:space="preserve">framework, </w:t>
      </w:r>
      <w:r w:rsidR="00017123" w:rsidRPr="00955E43">
        <w:t>however</w:t>
      </w:r>
      <w:r w:rsidRPr="00955E43">
        <w:t xml:space="preserve"> </w:t>
      </w:r>
      <w:r w:rsidR="00017123" w:rsidRPr="00955E43">
        <w:t>there may be significant cost differences in providing care</w:t>
      </w:r>
      <w:r w:rsidR="00017123" w:rsidRPr="00AA0C4F">
        <w:t xml:space="preserve"> </w:t>
      </w:r>
      <w:r w:rsidR="00017123" w:rsidRPr="00955E43">
        <w:t xml:space="preserve">in different care settings. The </w:t>
      </w:r>
      <w:r w:rsidR="005B333B" w:rsidRPr="00955E43">
        <w:t xml:space="preserve">ICB </w:t>
      </w:r>
      <w:r w:rsidR="00017123" w:rsidRPr="00955E43">
        <w:t>will</w:t>
      </w:r>
      <w:r w:rsidR="00017123" w:rsidRPr="00AA0C4F">
        <w:t xml:space="preserve"> </w:t>
      </w:r>
      <w:r w:rsidR="00017123" w:rsidRPr="00955E43">
        <w:t>not commission</w:t>
      </w:r>
      <w:r w:rsidR="00017123" w:rsidRPr="00AA0C4F">
        <w:t xml:space="preserve"> </w:t>
      </w:r>
      <w:r w:rsidR="00017123" w:rsidRPr="00955E43">
        <w:t xml:space="preserve">care </w:t>
      </w:r>
      <w:r w:rsidR="00017123" w:rsidRPr="00AA0C4F">
        <w:t>from</w:t>
      </w:r>
      <w:r w:rsidR="00017123" w:rsidRPr="00955E43">
        <w:t xml:space="preserve"> </w:t>
      </w:r>
      <w:r w:rsidR="00017123" w:rsidRPr="00AA0C4F">
        <w:t>a</w:t>
      </w:r>
      <w:r w:rsidRPr="00AA0C4F">
        <w:t>ny</w:t>
      </w:r>
      <w:r w:rsidR="00017123" w:rsidRPr="00AA0C4F">
        <w:t xml:space="preserve"> </w:t>
      </w:r>
      <w:r w:rsidR="00017123" w:rsidRPr="00955E43">
        <w:t>provider who</w:t>
      </w:r>
      <w:r w:rsidR="00017123" w:rsidRPr="00AA0C4F">
        <w:t xml:space="preserve"> </w:t>
      </w:r>
      <w:r w:rsidR="00017123" w:rsidRPr="00955E43">
        <w:t xml:space="preserve">does not meet </w:t>
      </w:r>
      <w:r w:rsidR="00017123" w:rsidRPr="00AA0C4F">
        <w:t xml:space="preserve">the </w:t>
      </w:r>
      <w:r w:rsidR="00017123" w:rsidRPr="00955E43">
        <w:t xml:space="preserve">agreed quality specification </w:t>
      </w:r>
      <w:r w:rsidR="00017123" w:rsidRPr="00AA0C4F">
        <w:t>for</w:t>
      </w:r>
      <w:r w:rsidR="00017123" w:rsidRPr="00955E43">
        <w:t xml:space="preserve"> care delivery or where</w:t>
      </w:r>
      <w:r w:rsidR="00017123" w:rsidRPr="00AA0C4F">
        <w:t xml:space="preserve"> </w:t>
      </w:r>
      <w:r w:rsidR="00017123" w:rsidRPr="00955E43">
        <w:t>safeguarding</w:t>
      </w:r>
      <w:r w:rsidR="00017123" w:rsidRPr="00AA0C4F">
        <w:t xml:space="preserve"> </w:t>
      </w:r>
      <w:r w:rsidR="00017123" w:rsidRPr="00955E43">
        <w:t>concerns have</w:t>
      </w:r>
      <w:r w:rsidR="00017123" w:rsidRPr="00AA0C4F">
        <w:t xml:space="preserve"> </w:t>
      </w:r>
      <w:r w:rsidR="00017123" w:rsidRPr="00955E43">
        <w:t>been substantiated</w:t>
      </w:r>
      <w:r w:rsidR="00017123" w:rsidRPr="00AA0C4F">
        <w:t xml:space="preserve"> </w:t>
      </w:r>
      <w:r w:rsidR="00017123" w:rsidRPr="00955E43">
        <w:t>and</w:t>
      </w:r>
      <w:r w:rsidRPr="00955E43">
        <w:t>/or</w:t>
      </w:r>
      <w:r w:rsidR="00017123" w:rsidRPr="00955E43">
        <w:t xml:space="preserve"> embargo</w:t>
      </w:r>
      <w:r w:rsidRPr="00955E43">
        <w:t>e</w:t>
      </w:r>
      <w:r w:rsidR="00017123" w:rsidRPr="00955E43">
        <w:t>s are in</w:t>
      </w:r>
      <w:r w:rsidR="00017123" w:rsidRPr="00AA0C4F">
        <w:t xml:space="preserve"> </w:t>
      </w:r>
      <w:r w:rsidR="00017123" w:rsidRPr="00955E43">
        <w:t>place.</w:t>
      </w:r>
    </w:p>
    <w:p w14:paraId="3DE4FF96" w14:textId="15462AAD" w:rsidR="00F17776" w:rsidRDefault="00F17776" w:rsidP="00955E43">
      <w:pPr>
        <w:pStyle w:val="Style2"/>
        <w:ind w:left="1138"/>
        <w:contextualSpacing w:val="0"/>
        <w:jc w:val="both"/>
      </w:pPr>
      <w:r w:rsidRPr="00955E43">
        <w:t>When</w:t>
      </w:r>
      <w:r>
        <w:t xml:space="preserve"> </w:t>
      </w:r>
      <w:r w:rsidRPr="00955E43">
        <w:t>identifying</w:t>
      </w:r>
      <w:r>
        <w:t xml:space="preserve"> </w:t>
      </w:r>
      <w:r w:rsidRPr="00955E43">
        <w:t>appropriate</w:t>
      </w:r>
      <w:r>
        <w:t xml:space="preserve"> </w:t>
      </w:r>
      <w:r w:rsidRPr="00955E43">
        <w:t xml:space="preserve">care </w:t>
      </w:r>
      <w:r w:rsidR="00642116" w:rsidRPr="00955E43">
        <w:t>provision,</w:t>
      </w:r>
      <w:r>
        <w:t xml:space="preserve"> the</w:t>
      </w:r>
      <w:r w:rsidRPr="00955E43">
        <w:t xml:space="preserve"> </w:t>
      </w:r>
      <w:r w:rsidR="00D9794C" w:rsidRPr="00955E43">
        <w:t>ICB</w:t>
      </w:r>
      <w:r w:rsidRPr="00955E43">
        <w:t xml:space="preserve"> will, by exercising clinical</w:t>
      </w:r>
      <w:r>
        <w:t xml:space="preserve"> </w:t>
      </w:r>
      <w:r w:rsidRPr="00955E43">
        <w:t xml:space="preserve">judgment, consider what is </w:t>
      </w:r>
      <w:r>
        <w:t>the</w:t>
      </w:r>
      <w:r w:rsidRPr="00955E43">
        <w:t xml:space="preserve"> safest option </w:t>
      </w:r>
      <w:r>
        <w:t>for</w:t>
      </w:r>
      <w:r w:rsidRPr="00955E43">
        <w:t xml:space="preserve"> </w:t>
      </w:r>
      <w:r>
        <w:t xml:space="preserve">the </w:t>
      </w:r>
      <w:r w:rsidRPr="00955E43">
        <w:t>individual</w:t>
      </w:r>
      <w:r>
        <w:t xml:space="preserve"> </w:t>
      </w:r>
      <w:r w:rsidRPr="00955E43">
        <w:t>within</w:t>
      </w:r>
      <w:r>
        <w:t xml:space="preserve"> the </w:t>
      </w:r>
      <w:r w:rsidRPr="00955E43">
        <w:t>resources available</w:t>
      </w:r>
      <w:r>
        <w:t xml:space="preserve"> to </w:t>
      </w:r>
      <w:r w:rsidRPr="00955E43">
        <w:t xml:space="preserve">them. Any assessment of </w:t>
      </w:r>
      <w:r>
        <w:t>a</w:t>
      </w:r>
      <w:r w:rsidRPr="00955E43">
        <w:t xml:space="preserve"> care</w:t>
      </w:r>
      <w:r>
        <w:t xml:space="preserve"> </w:t>
      </w:r>
      <w:r w:rsidRPr="00955E43">
        <w:t>option</w:t>
      </w:r>
      <w:r>
        <w:t xml:space="preserve"> </w:t>
      </w:r>
      <w:r w:rsidRPr="00955E43">
        <w:t>will</w:t>
      </w:r>
      <w:r>
        <w:t xml:space="preserve"> </w:t>
      </w:r>
      <w:r w:rsidRPr="00955E43">
        <w:t>include</w:t>
      </w:r>
      <w:r>
        <w:t xml:space="preserve"> the</w:t>
      </w:r>
      <w:r w:rsidRPr="00955E43">
        <w:t xml:space="preserve"> psychological</w:t>
      </w:r>
      <w:r>
        <w:t xml:space="preserve"> </w:t>
      </w:r>
      <w:r w:rsidRPr="00955E43">
        <w:t>and</w:t>
      </w:r>
      <w:r>
        <w:t xml:space="preserve"> </w:t>
      </w:r>
      <w:r w:rsidRPr="00955E43">
        <w:t>social care</w:t>
      </w:r>
      <w:r>
        <w:t xml:space="preserve"> </w:t>
      </w:r>
      <w:r w:rsidRPr="00955E43">
        <w:t xml:space="preserve">needs and </w:t>
      </w:r>
      <w:r>
        <w:t xml:space="preserve">the </w:t>
      </w:r>
      <w:r w:rsidRPr="00955E43">
        <w:t xml:space="preserve">impact on </w:t>
      </w:r>
      <w:r>
        <w:t xml:space="preserve">the </w:t>
      </w:r>
      <w:r w:rsidRPr="00955E43">
        <w:t xml:space="preserve">home and family </w:t>
      </w:r>
      <w:r>
        <w:t xml:space="preserve">life </w:t>
      </w:r>
      <w:r w:rsidRPr="00955E43">
        <w:t>as well</w:t>
      </w:r>
      <w:r>
        <w:t xml:space="preserve"> </w:t>
      </w:r>
      <w:r w:rsidRPr="00955E43">
        <w:t xml:space="preserve">as </w:t>
      </w:r>
      <w:r>
        <w:t xml:space="preserve">the </w:t>
      </w:r>
      <w:r w:rsidRPr="00955E43">
        <w:t>individual’s care</w:t>
      </w:r>
      <w:r>
        <w:t xml:space="preserve"> </w:t>
      </w:r>
      <w:r w:rsidRPr="00955E43">
        <w:t xml:space="preserve">needs. </w:t>
      </w:r>
      <w:r>
        <w:t>The</w:t>
      </w:r>
      <w:r w:rsidRPr="00955E43">
        <w:t xml:space="preserve"> outcome of this assessment will</w:t>
      </w:r>
      <w:r>
        <w:t xml:space="preserve"> </w:t>
      </w:r>
      <w:r w:rsidRPr="00955E43">
        <w:t>be</w:t>
      </w:r>
      <w:r>
        <w:t xml:space="preserve"> </w:t>
      </w:r>
      <w:r w:rsidRPr="00955E43">
        <w:t>taken into account in</w:t>
      </w:r>
      <w:r>
        <w:t xml:space="preserve"> </w:t>
      </w:r>
      <w:r w:rsidRPr="00955E43">
        <w:t xml:space="preserve">arriving at </w:t>
      </w:r>
      <w:r>
        <w:t>a</w:t>
      </w:r>
      <w:r w:rsidRPr="00955E43">
        <w:t xml:space="preserve"> decision.</w:t>
      </w:r>
    </w:p>
    <w:p w14:paraId="1CFB0622" w14:textId="3FDFDCA1" w:rsidR="00F17776" w:rsidRPr="00955E43" w:rsidRDefault="00F17776" w:rsidP="00955E43">
      <w:pPr>
        <w:pStyle w:val="Style2"/>
        <w:ind w:left="1138"/>
        <w:contextualSpacing w:val="0"/>
        <w:jc w:val="both"/>
      </w:pPr>
      <w:r>
        <w:t xml:space="preserve">In </w:t>
      </w:r>
      <w:r w:rsidRPr="00955E43">
        <w:t>instances where more than one</w:t>
      </w:r>
      <w:r>
        <w:t xml:space="preserve"> </w:t>
      </w:r>
      <w:r w:rsidRPr="00955E43">
        <w:t>clinically effective</w:t>
      </w:r>
      <w:r>
        <w:t xml:space="preserve"> </w:t>
      </w:r>
      <w:r w:rsidRPr="00955E43">
        <w:t>care</w:t>
      </w:r>
      <w:r>
        <w:t xml:space="preserve"> </w:t>
      </w:r>
      <w:r w:rsidRPr="00955E43">
        <w:t>option is available</w:t>
      </w:r>
      <w:r>
        <w:t xml:space="preserve"> the</w:t>
      </w:r>
      <w:r w:rsidRPr="00955E43">
        <w:t xml:space="preserve"> </w:t>
      </w:r>
      <w:r w:rsidR="00D9794C" w:rsidRPr="00955E43">
        <w:t>ICB</w:t>
      </w:r>
      <w:r w:rsidRPr="00955E43">
        <w:t xml:space="preserve"> will consider </w:t>
      </w:r>
      <w:r>
        <w:t>the</w:t>
      </w:r>
      <w:r w:rsidRPr="00955E43">
        <w:t xml:space="preserve"> </w:t>
      </w:r>
      <w:r>
        <w:t>total</w:t>
      </w:r>
      <w:r w:rsidRPr="00955E43">
        <w:t xml:space="preserve"> cost of each</w:t>
      </w:r>
      <w:r>
        <w:t xml:space="preserve"> </w:t>
      </w:r>
      <w:r w:rsidRPr="00955E43">
        <w:t>package. Wherever possible</w:t>
      </w:r>
      <w:r>
        <w:t xml:space="preserve"> the</w:t>
      </w:r>
      <w:r w:rsidRPr="00955E43">
        <w:t xml:space="preserve"> </w:t>
      </w:r>
      <w:r w:rsidR="00D9794C" w:rsidRPr="00955E43">
        <w:t>ICB</w:t>
      </w:r>
      <w:r w:rsidRPr="00955E43">
        <w:t xml:space="preserve"> will</w:t>
      </w:r>
      <w:r>
        <w:t xml:space="preserve"> </w:t>
      </w:r>
      <w:r w:rsidRPr="00955E43">
        <w:t>support the individual’s preferred place</w:t>
      </w:r>
      <w:r>
        <w:t xml:space="preserve"> </w:t>
      </w:r>
      <w:r w:rsidRPr="00955E43">
        <w:t>of care within</w:t>
      </w:r>
      <w:r>
        <w:t xml:space="preserve"> </w:t>
      </w:r>
      <w:r w:rsidRPr="00955E43">
        <w:t>available resources.</w:t>
      </w:r>
    </w:p>
    <w:p w14:paraId="69962A74" w14:textId="0A1FE5A8" w:rsidR="00017123" w:rsidRPr="00955E43" w:rsidRDefault="00017123" w:rsidP="00955E43">
      <w:pPr>
        <w:pStyle w:val="Style2"/>
        <w:ind w:left="1138"/>
        <w:contextualSpacing w:val="0"/>
        <w:jc w:val="both"/>
      </w:pPr>
      <w:r w:rsidRPr="00955E43">
        <w:t xml:space="preserve">For </w:t>
      </w:r>
      <w:r w:rsidR="008E1A22" w:rsidRPr="00955E43">
        <w:t xml:space="preserve">highly </w:t>
      </w:r>
      <w:r w:rsidRPr="00955E43">
        <w:t xml:space="preserve">complex </w:t>
      </w:r>
      <w:r w:rsidR="008E1A22" w:rsidRPr="00955E43">
        <w:t xml:space="preserve">or specialist </w:t>
      </w:r>
      <w:r w:rsidRPr="00955E43">
        <w:t>care</w:t>
      </w:r>
      <w:r w:rsidRPr="00AA0C4F">
        <w:t xml:space="preserve"> </w:t>
      </w:r>
      <w:r w:rsidRPr="00955E43">
        <w:t xml:space="preserve">packages </w:t>
      </w:r>
      <w:r w:rsidRPr="00AA0C4F">
        <w:t>the</w:t>
      </w:r>
      <w:r w:rsidRPr="00955E43">
        <w:t xml:space="preserve"> </w:t>
      </w:r>
      <w:r w:rsidR="00D9794C" w:rsidRPr="00955E43">
        <w:t>ICB</w:t>
      </w:r>
      <w:r w:rsidRPr="00955E43">
        <w:t xml:space="preserve"> will</w:t>
      </w:r>
      <w:r w:rsidRPr="00AA0C4F">
        <w:t xml:space="preserve"> </w:t>
      </w:r>
      <w:r w:rsidRPr="00955E43">
        <w:t xml:space="preserve">apply </w:t>
      </w:r>
      <w:r w:rsidRPr="00AA0C4F">
        <w:t xml:space="preserve">the </w:t>
      </w:r>
      <w:r w:rsidRPr="00955E43">
        <w:t>core care package costs agreed</w:t>
      </w:r>
      <w:r w:rsidRPr="00AA0C4F">
        <w:t xml:space="preserve"> </w:t>
      </w:r>
      <w:r w:rsidRPr="00955E43">
        <w:t>with</w:t>
      </w:r>
      <w:r w:rsidRPr="00AA0C4F">
        <w:t xml:space="preserve"> </w:t>
      </w:r>
      <w:r w:rsidRPr="00955E43">
        <w:t>the preferred provider</w:t>
      </w:r>
      <w:r w:rsidR="00F17776" w:rsidRPr="00955E43">
        <w:t xml:space="preserve"> framework </w:t>
      </w:r>
      <w:r w:rsidRPr="00955E43">
        <w:t xml:space="preserve">and </w:t>
      </w:r>
      <w:r w:rsidRPr="00AA0C4F">
        <w:t>the</w:t>
      </w:r>
      <w:r w:rsidRPr="00955E43">
        <w:t xml:space="preserve"> </w:t>
      </w:r>
      <w:r w:rsidR="00F17776" w:rsidRPr="00955E43">
        <w:t>brokerage</w:t>
      </w:r>
      <w:r w:rsidRPr="00AA0C4F">
        <w:t xml:space="preserve"> </w:t>
      </w:r>
      <w:r w:rsidRPr="00955E43">
        <w:t>team will</w:t>
      </w:r>
      <w:r w:rsidRPr="00AA0C4F">
        <w:t xml:space="preserve"> </w:t>
      </w:r>
      <w:r w:rsidRPr="00955E43">
        <w:t>liaise</w:t>
      </w:r>
      <w:r w:rsidRPr="00AA0C4F">
        <w:t xml:space="preserve"> </w:t>
      </w:r>
      <w:r w:rsidRPr="00955E43">
        <w:t>with</w:t>
      </w:r>
      <w:r w:rsidRPr="00AA0C4F">
        <w:t xml:space="preserve"> </w:t>
      </w:r>
      <w:r w:rsidRPr="00955E43">
        <w:t>care</w:t>
      </w:r>
      <w:r w:rsidRPr="00AA0C4F">
        <w:t xml:space="preserve"> </w:t>
      </w:r>
      <w:r w:rsidRPr="00955E43">
        <w:t xml:space="preserve">providers as required regarding </w:t>
      </w:r>
      <w:r w:rsidR="00F17776" w:rsidRPr="00955E43">
        <w:t>negotiation of costs for meeting needs in excess of a standard care package</w:t>
      </w:r>
      <w:r w:rsidRPr="00955E43">
        <w:t>.</w:t>
      </w:r>
    </w:p>
    <w:p w14:paraId="73F2258B" w14:textId="04BA175B" w:rsidR="00145E41" w:rsidRPr="00955E43" w:rsidRDefault="00145E41" w:rsidP="00955E43">
      <w:pPr>
        <w:pStyle w:val="Style2"/>
        <w:ind w:left="1138"/>
        <w:contextualSpacing w:val="0"/>
        <w:jc w:val="both"/>
      </w:pPr>
      <w:r w:rsidRPr="00955E43">
        <w:t>Many individuals wish</w:t>
      </w:r>
      <w:r w:rsidRPr="002F10FE">
        <w:t xml:space="preserve"> to</w:t>
      </w:r>
      <w:r w:rsidRPr="00955E43">
        <w:t xml:space="preserve"> be</w:t>
      </w:r>
      <w:r w:rsidRPr="002F10FE">
        <w:t xml:space="preserve"> </w:t>
      </w:r>
      <w:r w:rsidRPr="00955E43">
        <w:t xml:space="preserve">cared </w:t>
      </w:r>
      <w:r w:rsidRPr="002F10FE">
        <w:t>for</w:t>
      </w:r>
      <w:r w:rsidRPr="00955E43">
        <w:t xml:space="preserve"> in their own</w:t>
      </w:r>
      <w:r w:rsidRPr="002F10FE">
        <w:t xml:space="preserve"> </w:t>
      </w:r>
      <w:r w:rsidRPr="00955E43">
        <w:t>homes rather than in</w:t>
      </w:r>
      <w:r w:rsidRPr="002F10FE">
        <w:t xml:space="preserve"> </w:t>
      </w:r>
      <w:r w:rsidRPr="00955E43">
        <w:t>care</w:t>
      </w:r>
      <w:r w:rsidRPr="002F10FE">
        <w:t xml:space="preserve"> </w:t>
      </w:r>
      <w:r w:rsidRPr="00955E43">
        <w:t>homes, especially people</w:t>
      </w:r>
      <w:r w:rsidRPr="002F10FE">
        <w:t xml:space="preserve"> </w:t>
      </w:r>
      <w:r w:rsidRPr="00955E43">
        <w:t>who</w:t>
      </w:r>
      <w:r w:rsidRPr="002F10FE">
        <w:t xml:space="preserve"> </w:t>
      </w:r>
      <w:r w:rsidRPr="00955E43">
        <w:t>are</w:t>
      </w:r>
      <w:r w:rsidRPr="002F10FE">
        <w:t xml:space="preserve"> </w:t>
      </w:r>
      <w:r w:rsidRPr="00955E43">
        <w:t>in</w:t>
      </w:r>
      <w:r w:rsidRPr="002F10FE">
        <w:t xml:space="preserve"> the</w:t>
      </w:r>
      <w:r w:rsidRPr="00955E43">
        <w:t xml:space="preserve"> terminal</w:t>
      </w:r>
      <w:r w:rsidRPr="002F10FE">
        <w:t xml:space="preserve"> </w:t>
      </w:r>
      <w:r w:rsidRPr="00955E43">
        <w:t>stages of illness. The individual’s choice</w:t>
      </w:r>
      <w:r w:rsidRPr="002F10FE">
        <w:t xml:space="preserve"> </w:t>
      </w:r>
      <w:r w:rsidRPr="00955E43">
        <w:t>of care setting should</w:t>
      </w:r>
      <w:r w:rsidRPr="002F10FE">
        <w:t xml:space="preserve"> </w:t>
      </w:r>
      <w:r w:rsidRPr="00955E43">
        <w:t>be</w:t>
      </w:r>
      <w:r w:rsidRPr="002F10FE">
        <w:t xml:space="preserve"> </w:t>
      </w:r>
      <w:r w:rsidRPr="00955E43">
        <w:t>taken</w:t>
      </w:r>
      <w:r w:rsidRPr="002F10FE">
        <w:t xml:space="preserve"> </w:t>
      </w:r>
      <w:r w:rsidRPr="00955E43">
        <w:t xml:space="preserve">into account, but there is no automatic right </w:t>
      </w:r>
      <w:r w:rsidRPr="002F10FE">
        <w:t>to</w:t>
      </w:r>
      <w:r w:rsidRPr="00955E43">
        <w:t xml:space="preserve"> </w:t>
      </w:r>
      <w:r w:rsidRPr="002F10FE">
        <w:t>a</w:t>
      </w:r>
      <w:r w:rsidR="002F10FE" w:rsidRPr="002F10FE">
        <w:t xml:space="preserve">n NHS-funded </w:t>
      </w:r>
      <w:r w:rsidRPr="00955E43">
        <w:t>package of care</w:t>
      </w:r>
      <w:r w:rsidRPr="002F10FE">
        <w:t xml:space="preserve"> </w:t>
      </w:r>
      <w:r w:rsidRPr="00955E43">
        <w:t xml:space="preserve">at home. </w:t>
      </w:r>
      <w:r w:rsidRPr="002F10FE">
        <w:t>The</w:t>
      </w:r>
      <w:r w:rsidRPr="00955E43">
        <w:t xml:space="preserve"> option</w:t>
      </w:r>
      <w:r w:rsidRPr="002F10FE">
        <w:t xml:space="preserve"> </w:t>
      </w:r>
      <w:r w:rsidRPr="00955E43">
        <w:t xml:space="preserve">of </w:t>
      </w:r>
      <w:r w:rsidRPr="002F10FE">
        <w:t>a</w:t>
      </w:r>
      <w:r w:rsidRPr="00955E43">
        <w:t xml:space="preserve"> package of care</w:t>
      </w:r>
      <w:r w:rsidRPr="002F10FE">
        <w:t xml:space="preserve"> </w:t>
      </w:r>
      <w:r w:rsidRPr="00955E43">
        <w:t>at home will be</w:t>
      </w:r>
      <w:r w:rsidRPr="002F10FE">
        <w:t xml:space="preserve"> </w:t>
      </w:r>
      <w:r w:rsidRPr="00955E43">
        <w:t>considered after taking</w:t>
      </w:r>
      <w:r w:rsidRPr="002F10FE">
        <w:t xml:space="preserve"> </w:t>
      </w:r>
      <w:r w:rsidRPr="00955E43">
        <w:t>into</w:t>
      </w:r>
      <w:r w:rsidRPr="002F10FE">
        <w:t xml:space="preserve"> </w:t>
      </w:r>
      <w:r w:rsidRPr="00955E43">
        <w:t xml:space="preserve">account the level of risk associated with such an arrangement and the equity and sustainability of providing a care package that fully mitigates those identified risks.  </w:t>
      </w:r>
    </w:p>
    <w:p w14:paraId="6FFB4A54" w14:textId="721EAFCF" w:rsidR="00017123" w:rsidRPr="00955E43" w:rsidRDefault="00DA606F" w:rsidP="00955E43">
      <w:pPr>
        <w:pStyle w:val="Style2"/>
        <w:ind w:left="1138"/>
        <w:contextualSpacing w:val="0"/>
        <w:jc w:val="both"/>
      </w:pPr>
      <w:r w:rsidRPr="00955E43">
        <w:t>Individuals</w:t>
      </w:r>
      <w:r w:rsidRPr="002F10FE">
        <w:t xml:space="preserve"> </w:t>
      </w:r>
      <w:r w:rsidR="00017123" w:rsidRPr="00955E43">
        <w:t>who</w:t>
      </w:r>
      <w:r w:rsidR="00017123" w:rsidRPr="002F10FE">
        <w:t xml:space="preserve"> </w:t>
      </w:r>
      <w:r w:rsidR="00017123" w:rsidRPr="00955E43">
        <w:t>are</w:t>
      </w:r>
      <w:r w:rsidR="00017123" w:rsidRPr="002F10FE">
        <w:t xml:space="preserve"> </w:t>
      </w:r>
      <w:r w:rsidR="00017123" w:rsidRPr="00955E43">
        <w:t xml:space="preserve">eligible </w:t>
      </w:r>
      <w:r w:rsidR="00017123" w:rsidRPr="002F10FE">
        <w:t>for</w:t>
      </w:r>
      <w:r w:rsidR="00017123" w:rsidRPr="00955E43">
        <w:t xml:space="preserve"> CHC</w:t>
      </w:r>
      <w:r w:rsidR="00017123" w:rsidRPr="002F10FE">
        <w:t xml:space="preserve"> </w:t>
      </w:r>
      <w:r w:rsidR="00017123" w:rsidRPr="00955E43">
        <w:t>have</w:t>
      </w:r>
      <w:r w:rsidR="00017123" w:rsidRPr="002F10FE">
        <w:t xml:space="preserve"> a </w:t>
      </w:r>
      <w:r w:rsidR="00017123" w:rsidRPr="00955E43">
        <w:t>complexity, intensity and/or unpredictability in</w:t>
      </w:r>
      <w:r w:rsidR="00017123" w:rsidRPr="002F10FE">
        <w:t xml:space="preserve"> </w:t>
      </w:r>
      <w:r w:rsidR="00017123" w:rsidRPr="00955E43">
        <w:t>their overall</w:t>
      </w:r>
      <w:r w:rsidR="00017123" w:rsidRPr="002F10FE">
        <w:t xml:space="preserve"> </w:t>
      </w:r>
      <w:r w:rsidR="00017123" w:rsidRPr="00955E43">
        <w:t>care</w:t>
      </w:r>
      <w:r w:rsidR="00017123" w:rsidRPr="002F10FE">
        <w:t xml:space="preserve"> </w:t>
      </w:r>
      <w:r w:rsidR="00017123" w:rsidRPr="00955E43">
        <w:t xml:space="preserve">needs which may mean it is difficult </w:t>
      </w:r>
      <w:r w:rsidR="00017123" w:rsidRPr="002F10FE">
        <w:t>for</w:t>
      </w:r>
      <w:r w:rsidR="00017123" w:rsidRPr="00955E43">
        <w:t xml:space="preserve"> care </w:t>
      </w:r>
      <w:r w:rsidR="00017123" w:rsidRPr="002F10FE">
        <w:t xml:space="preserve">to </w:t>
      </w:r>
      <w:r w:rsidR="00017123" w:rsidRPr="00955E43">
        <w:t>be safely</w:t>
      </w:r>
      <w:r w:rsidR="00145E41" w:rsidRPr="00955E43">
        <w:t xml:space="preserve"> </w:t>
      </w:r>
      <w:r w:rsidR="00017123" w:rsidRPr="00955E43">
        <w:t>delivered</w:t>
      </w:r>
      <w:r w:rsidR="00017123" w:rsidRPr="002F10FE">
        <w:t xml:space="preserve"> </w:t>
      </w:r>
      <w:r w:rsidR="00017123" w:rsidRPr="00955E43">
        <w:t xml:space="preserve">at home. </w:t>
      </w:r>
      <w:r w:rsidR="00017123" w:rsidRPr="002F10FE">
        <w:t>The</w:t>
      </w:r>
      <w:r w:rsidR="00017123" w:rsidRPr="00955E43">
        <w:t xml:space="preserve"> </w:t>
      </w:r>
      <w:r w:rsidR="009E7F68" w:rsidRPr="00955E43">
        <w:t xml:space="preserve">ICB </w:t>
      </w:r>
      <w:r w:rsidR="00017123" w:rsidRPr="00955E43">
        <w:t>will</w:t>
      </w:r>
      <w:r w:rsidR="00017123" w:rsidRPr="002F10FE">
        <w:t xml:space="preserve"> </w:t>
      </w:r>
      <w:r w:rsidR="00017123" w:rsidRPr="00955E43">
        <w:t>consider if care can</w:t>
      </w:r>
      <w:r w:rsidR="00017123" w:rsidRPr="002F10FE">
        <w:t xml:space="preserve"> </w:t>
      </w:r>
      <w:r w:rsidR="00017123" w:rsidRPr="00955E43">
        <w:t>be delivered</w:t>
      </w:r>
      <w:r w:rsidR="00017123" w:rsidRPr="002F10FE">
        <w:t xml:space="preserve"> </w:t>
      </w:r>
      <w:r w:rsidR="00017123" w:rsidRPr="00955E43">
        <w:t>safely to</w:t>
      </w:r>
      <w:r w:rsidR="00017123" w:rsidRPr="002F10FE">
        <w:t xml:space="preserve"> the</w:t>
      </w:r>
      <w:r w:rsidR="00017123" w:rsidRPr="00955E43">
        <w:t xml:space="preserve"> individual and</w:t>
      </w:r>
      <w:r w:rsidR="00017123" w:rsidRPr="002F10FE">
        <w:t xml:space="preserve"> </w:t>
      </w:r>
      <w:r w:rsidR="00017123" w:rsidRPr="00955E43">
        <w:t xml:space="preserve">without undue risk </w:t>
      </w:r>
      <w:r w:rsidR="00017123" w:rsidRPr="002F10FE">
        <w:t>to</w:t>
      </w:r>
      <w:r w:rsidR="00017123" w:rsidRPr="00955E43">
        <w:t xml:space="preserve"> </w:t>
      </w:r>
      <w:r w:rsidR="00017123" w:rsidRPr="002F10FE">
        <w:t>the</w:t>
      </w:r>
      <w:r w:rsidR="00017123" w:rsidRPr="00955E43">
        <w:t xml:space="preserve"> individual, carers, staff or other members of the</w:t>
      </w:r>
      <w:r w:rsidR="00017123" w:rsidRPr="002F10FE">
        <w:t xml:space="preserve"> </w:t>
      </w:r>
      <w:r w:rsidR="00017123" w:rsidRPr="00955E43">
        <w:t>household (including children) and property.</w:t>
      </w:r>
    </w:p>
    <w:p w14:paraId="677BDE74" w14:textId="1E4B896B" w:rsidR="00017123" w:rsidRDefault="00017123" w:rsidP="00955E43">
      <w:pPr>
        <w:pStyle w:val="Style2"/>
        <w:ind w:left="1138"/>
        <w:contextualSpacing w:val="0"/>
        <w:jc w:val="both"/>
      </w:pPr>
      <w:r w:rsidRPr="00955E43">
        <w:t>Safety will</w:t>
      </w:r>
      <w:r w:rsidRPr="002F10FE">
        <w:t xml:space="preserve"> </w:t>
      </w:r>
      <w:r w:rsidRPr="00955E43">
        <w:t>be</w:t>
      </w:r>
      <w:r w:rsidRPr="002F10FE">
        <w:t xml:space="preserve"> </w:t>
      </w:r>
      <w:r w:rsidRPr="00955E43">
        <w:t xml:space="preserve">determined by risk </w:t>
      </w:r>
      <w:r w:rsidR="009E7F68" w:rsidRPr="00955E43">
        <w:t>assessment</w:t>
      </w:r>
      <w:r w:rsidR="00185326" w:rsidRPr="00955E43">
        <w:t xml:space="preserve"> to include contingency planning</w:t>
      </w:r>
      <w:r w:rsidR="009E7F68" w:rsidRPr="00955E43">
        <w:t xml:space="preserve">, which will </w:t>
      </w:r>
      <w:r w:rsidRPr="00955E43">
        <w:t>include</w:t>
      </w:r>
      <w:r w:rsidRPr="002F10FE">
        <w:t xml:space="preserve"> the </w:t>
      </w:r>
      <w:r w:rsidRPr="00955E43">
        <w:t xml:space="preserve">availability of equipment, the appropriateness of </w:t>
      </w:r>
      <w:r w:rsidRPr="002F10FE">
        <w:t xml:space="preserve">the </w:t>
      </w:r>
      <w:r w:rsidRPr="00955E43">
        <w:t>physical</w:t>
      </w:r>
      <w:r w:rsidRPr="002F10FE">
        <w:t xml:space="preserve"> </w:t>
      </w:r>
      <w:r w:rsidRPr="00955E43">
        <w:t xml:space="preserve">environment and </w:t>
      </w:r>
      <w:r w:rsidRPr="002F10FE">
        <w:t xml:space="preserve">the </w:t>
      </w:r>
      <w:r w:rsidRPr="00955E43">
        <w:t>availability of appropriately trained</w:t>
      </w:r>
      <w:r w:rsidRPr="002F10FE">
        <w:t xml:space="preserve"> </w:t>
      </w:r>
      <w:r w:rsidRPr="00955E43">
        <w:t xml:space="preserve">care staff and/or other staff </w:t>
      </w:r>
      <w:r w:rsidRPr="002F10FE">
        <w:t>to</w:t>
      </w:r>
      <w:r w:rsidRPr="00955E43">
        <w:t xml:space="preserve"> deliver </w:t>
      </w:r>
      <w:r w:rsidRPr="002F10FE">
        <w:t>the</w:t>
      </w:r>
      <w:r w:rsidRPr="00955E43">
        <w:t xml:space="preserve"> care at </w:t>
      </w:r>
      <w:r w:rsidRPr="002F10FE">
        <w:t>the</w:t>
      </w:r>
      <w:r w:rsidRPr="00955E43">
        <w:t xml:space="preserve"> intensity and frequency required.</w:t>
      </w:r>
    </w:p>
    <w:p w14:paraId="211F9B35" w14:textId="52E39307" w:rsidR="009E7F68" w:rsidRDefault="009E7F68" w:rsidP="00955E43">
      <w:pPr>
        <w:pStyle w:val="Style2"/>
        <w:ind w:left="1138"/>
        <w:contextualSpacing w:val="0"/>
        <w:jc w:val="both"/>
      </w:pPr>
      <w:r>
        <w:t>The</w:t>
      </w:r>
      <w:r w:rsidRPr="00955E43">
        <w:t xml:space="preserve"> following should</w:t>
      </w:r>
      <w:r>
        <w:t xml:space="preserve"> </w:t>
      </w:r>
      <w:r w:rsidRPr="00955E43">
        <w:t>be considered</w:t>
      </w:r>
      <w:r>
        <w:t xml:space="preserve"> </w:t>
      </w:r>
      <w:r w:rsidRPr="00955E43">
        <w:t xml:space="preserve">before </w:t>
      </w:r>
      <w:r>
        <w:t>the</w:t>
      </w:r>
      <w:r w:rsidRPr="00955E43">
        <w:t xml:space="preserve"> </w:t>
      </w:r>
      <w:r w:rsidR="00D9794C" w:rsidRPr="00955E43">
        <w:t>ICB</w:t>
      </w:r>
      <w:r w:rsidRPr="00955E43">
        <w:t xml:space="preserve"> agree </w:t>
      </w:r>
      <w:r>
        <w:t xml:space="preserve">to </w:t>
      </w:r>
      <w:r w:rsidRPr="00955E43">
        <w:t>commission</w:t>
      </w:r>
      <w:r>
        <w:t xml:space="preserve"> a </w:t>
      </w:r>
      <w:r w:rsidRPr="00955E43">
        <w:t>package of care in</w:t>
      </w:r>
      <w:r>
        <w:t xml:space="preserve"> the </w:t>
      </w:r>
      <w:r w:rsidRPr="00955E43">
        <w:t>individuals own</w:t>
      </w:r>
      <w:r>
        <w:t xml:space="preserve"> </w:t>
      </w:r>
      <w:r w:rsidRPr="00955E43">
        <w:t>home:</w:t>
      </w:r>
    </w:p>
    <w:p w14:paraId="23216AE4" w14:textId="29BD2D8F" w:rsidR="00435EC8" w:rsidRDefault="00185326" w:rsidP="00AD335F">
      <w:pPr>
        <w:pStyle w:val="BodyText"/>
        <w:widowControl w:val="0"/>
        <w:numPr>
          <w:ilvl w:val="0"/>
          <w:numId w:val="15"/>
        </w:numPr>
        <w:tabs>
          <w:tab w:val="left" w:pos="1701"/>
        </w:tabs>
        <w:kinsoku w:val="0"/>
        <w:overflowPunct w:val="0"/>
        <w:autoSpaceDE w:val="0"/>
        <w:autoSpaceDN w:val="0"/>
        <w:adjustRightInd w:val="0"/>
        <w:spacing w:before="0" w:after="0" w:line="269" w:lineRule="exact"/>
        <w:ind w:left="1701" w:right="-46" w:hanging="567"/>
        <w:jc w:val="both"/>
      </w:pPr>
      <w:r>
        <w:t>Parental responsibility for young people u</w:t>
      </w:r>
      <w:r w:rsidR="00435EC8">
        <w:t>nder 18 year</w:t>
      </w:r>
      <w:r w:rsidR="00043C80">
        <w:t>s</w:t>
      </w:r>
      <w:r w:rsidR="00435EC8">
        <w:t xml:space="preserve"> of age </w:t>
      </w:r>
    </w:p>
    <w:p w14:paraId="01B856A6" w14:textId="2D6F5520" w:rsidR="009E7F68" w:rsidRDefault="009E7F68" w:rsidP="00AD335F">
      <w:pPr>
        <w:pStyle w:val="BodyText"/>
        <w:widowControl w:val="0"/>
        <w:numPr>
          <w:ilvl w:val="0"/>
          <w:numId w:val="15"/>
        </w:numPr>
        <w:tabs>
          <w:tab w:val="left" w:pos="1701"/>
        </w:tabs>
        <w:kinsoku w:val="0"/>
        <w:overflowPunct w:val="0"/>
        <w:autoSpaceDE w:val="0"/>
        <w:autoSpaceDN w:val="0"/>
        <w:adjustRightInd w:val="0"/>
        <w:spacing w:before="0" w:after="0" w:line="269" w:lineRule="exact"/>
        <w:ind w:left="1701" w:right="-46" w:hanging="567"/>
        <w:jc w:val="both"/>
      </w:pPr>
      <w:r>
        <w:t>The</w:t>
      </w:r>
      <w:r>
        <w:rPr>
          <w:spacing w:val="-2"/>
        </w:rPr>
        <w:t xml:space="preserve"> </w:t>
      </w:r>
      <w:r>
        <w:rPr>
          <w:spacing w:val="-1"/>
        </w:rPr>
        <w:t>individual’s</w:t>
      </w:r>
      <w:r>
        <w:rPr>
          <w:spacing w:val="1"/>
        </w:rPr>
        <w:t xml:space="preserve"> </w:t>
      </w:r>
      <w:r>
        <w:rPr>
          <w:spacing w:val="-1"/>
        </w:rPr>
        <w:t xml:space="preserve">current </w:t>
      </w:r>
      <w:r>
        <w:rPr>
          <w:spacing w:val="-2"/>
        </w:rPr>
        <w:t>and</w:t>
      </w:r>
      <w:r>
        <w:t xml:space="preserve"> </w:t>
      </w:r>
      <w:r>
        <w:rPr>
          <w:spacing w:val="-1"/>
        </w:rPr>
        <w:t>likely</w:t>
      </w:r>
      <w:r>
        <w:rPr>
          <w:spacing w:val="-4"/>
        </w:rPr>
        <w:t xml:space="preserve"> </w:t>
      </w:r>
      <w:r>
        <w:t xml:space="preserve">future </w:t>
      </w:r>
      <w:r>
        <w:rPr>
          <w:spacing w:val="-2"/>
        </w:rPr>
        <w:t>needs</w:t>
      </w:r>
    </w:p>
    <w:p w14:paraId="17E0C9EA" w14:textId="77777777" w:rsidR="009E7F68" w:rsidRDefault="009E7F68" w:rsidP="00AD335F">
      <w:pPr>
        <w:pStyle w:val="BodyText"/>
        <w:widowControl w:val="0"/>
        <w:numPr>
          <w:ilvl w:val="0"/>
          <w:numId w:val="15"/>
        </w:numPr>
        <w:tabs>
          <w:tab w:val="left" w:pos="1701"/>
        </w:tabs>
        <w:kinsoku w:val="0"/>
        <w:overflowPunct w:val="0"/>
        <w:autoSpaceDE w:val="0"/>
        <w:autoSpaceDN w:val="0"/>
        <w:adjustRightInd w:val="0"/>
        <w:spacing w:before="0" w:after="0" w:line="268" w:lineRule="exact"/>
        <w:ind w:left="1701" w:right="-46" w:hanging="567"/>
        <w:jc w:val="both"/>
        <w:rPr>
          <w:spacing w:val="-1"/>
        </w:rPr>
      </w:pPr>
      <w:r>
        <w:t>The</w:t>
      </w:r>
      <w:r>
        <w:rPr>
          <w:spacing w:val="-2"/>
        </w:rPr>
        <w:t xml:space="preserve"> </w:t>
      </w:r>
      <w:r>
        <w:rPr>
          <w:spacing w:val="-1"/>
        </w:rPr>
        <w:t>individual’s</w:t>
      </w:r>
      <w:r>
        <w:rPr>
          <w:spacing w:val="1"/>
        </w:rPr>
        <w:t xml:space="preserve"> </w:t>
      </w:r>
      <w:r>
        <w:t xml:space="preserve">GP </w:t>
      </w:r>
      <w:r>
        <w:rPr>
          <w:spacing w:val="-1"/>
        </w:rPr>
        <w:t>agrees</w:t>
      </w:r>
      <w:r>
        <w:rPr>
          <w:spacing w:val="1"/>
        </w:rPr>
        <w:t xml:space="preserve"> </w:t>
      </w:r>
      <w:r>
        <w:t>to</w:t>
      </w:r>
      <w:r>
        <w:rPr>
          <w:spacing w:val="-2"/>
        </w:rPr>
        <w:t xml:space="preserve"> </w:t>
      </w:r>
      <w:r>
        <w:rPr>
          <w:spacing w:val="-1"/>
        </w:rPr>
        <w:t>provide</w:t>
      </w:r>
      <w:r>
        <w:t xml:space="preserve"> </w:t>
      </w:r>
      <w:r>
        <w:rPr>
          <w:spacing w:val="-1"/>
        </w:rPr>
        <w:t>primary</w:t>
      </w:r>
      <w:r>
        <w:rPr>
          <w:spacing w:val="-2"/>
        </w:rPr>
        <w:t xml:space="preserve"> </w:t>
      </w:r>
      <w:r>
        <w:rPr>
          <w:spacing w:val="-1"/>
        </w:rPr>
        <w:t>care</w:t>
      </w:r>
      <w:r>
        <w:t xml:space="preserve"> </w:t>
      </w:r>
      <w:r>
        <w:rPr>
          <w:spacing w:val="-1"/>
        </w:rPr>
        <w:t>support</w:t>
      </w:r>
    </w:p>
    <w:p w14:paraId="25AEE4E9" w14:textId="77777777" w:rsidR="009E7F68" w:rsidRDefault="009E7F68" w:rsidP="00AD335F">
      <w:pPr>
        <w:pStyle w:val="BodyText"/>
        <w:widowControl w:val="0"/>
        <w:numPr>
          <w:ilvl w:val="0"/>
          <w:numId w:val="15"/>
        </w:numPr>
        <w:tabs>
          <w:tab w:val="left" w:pos="1701"/>
        </w:tabs>
        <w:kinsoku w:val="0"/>
        <w:overflowPunct w:val="0"/>
        <w:autoSpaceDE w:val="0"/>
        <w:autoSpaceDN w:val="0"/>
        <w:adjustRightInd w:val="0"/>
        <w:spacing w:before="0" w:after="0" w:line="268" w:lineRule="exact"/>
        <w:ind w:left="1701" w:right="-46" w:hanging="567"/>
        <w:jc w:val="both"/>
      </w:pPr>
      <w:r>
        <w:t>The</w:t>
      </w:r>
      <w:r>
        <w:rPr>
          <w:spacing w:val="-2"/>
        </w:rPr>
        <w:t xml:space="preserve"> </w:t>
      </w:r>
      <w:r>
        <w:rPr>
          <w:spacing w:val="-1"/>
        </w:rPr>
        <w:t>suitability</w:t>
      </w:r>
      <w:r>
        <w:rPr>
          <w:spacing w:val="-2"/>
        </w:rPr>
        <w:t xml:space="preserve"> </w:t>
      </w:r>
      <w:r>
        <w:rPr>
          <w:spacing w:val="-1"/>
        </w:rPr>
        <w:t>and</w:t>
      </w:r>
      <w:r>
        <w:t xml:space="preserve"> </w:t>
      </w:r>
      <w:r>
        <w:rPr>
          <w:spacing w:val="-1"/>
        </w:rPr>
        <w:t>availability</w:t>
      </w:r>
      <w:r>
        <w:rPr>
          <w:spacing w:val="-2"/>
        </w:rPr>
        <w:t xml:space="preserve"> </w:t>
      </w:r>
      <w:r>
        <w:rPr>
          <w:spacing w:val="-1"/>
        </w:rPr>
        <w:t>of</w:t>
      </w:r>
      <w:r>
        <w:rPr>
          <w:spacing w:val="4"/>
        </w:rPr>
        <w:t xml:space="preserve"> </w:t>
      </w:r>
      <w:r>
        <w:rPr>
          <w:spacing w:val="-1"/>
        </w:rPr>
        <w:t>alternative</w:t>
      </w:r>
      <w:r>
        <w:t xml:space="preserve"> </w:t>
      </w:r>
      <w:r>
        <w:rPr>
          <w:spacing w:val="-1"/>
        </w:rPr>
        <w:t>care</w:t>
      </w:r>
      <w:r>
        <w:rPr>
          <w:spacing w:val="-2"/>
        </w:rPr>
        <w:t xml:space="preserve"> options</w:t>
      </w:r>
    </w:p>
    <w:p w14:paraId="41909363" w14:textId="77777777" w:rsidR="009E7F68" w:rsidRDefault="009E7F68" w:rsidP="00AD335F">
      <w:pPr>
        <w:pStyle w:val="BodyText"/>
        <w:widowControl w:val="0"/>
        <w:numPr>
          <w:ilvl w:val="0"/>
          <w:numId w:val="15"/>
        </w:numPr>
        <w:tabs>
          <w:tab w:val="left" w:pos="1701"/>
        </w:tabs>
        <w:kinsoku w:val="0"/>
        <w:overflowPunct w:val="0"/>
        <w:autoSpaceDE w:val="0"/>
        <w:autoSpaceDN w:val="0"/>
        <w:adjustRightInd w:val="0"/>
        <w:spacing w:before="19" w:after="0" w:line="252" w:lineRule="exact"/>
        <w:ind w:left="1701" w:right="-46" w:hanging="567"/>
        <w:jc w:val="both"/>
      </w:pPr>
      <w:r>
        <w:t>The</w:t>
      </w:r>
      <w:r>
        <w:rPr>
          <w:spacing w:val="-2"/>
        </w:rPr>
        <w:t xml:space="preserve"> </w:t>
      </w:r>
      <w:r>
        <w:rPr>
          <w:spacing w:val="-1"/>
        </w:rPr>
        <w:t xml:space="preserve">cost </w:t>
      </w:r>
      <w:r>
        <w:rPr>
          <w:spacing w:val="-2"/>
        </w:rPr>
        <w:t>of</w:t>
      </w:r>
      <w:r>
        <w:rPr>
          <w:spacing w:val="-1"/>
        </w:rPr>
        <w:t xml:space="preserve"> </w:t>
      </w:r>
      <w:r>
        <w:t xml:space="preserve">the </w:t>
      </w:r>
      <w:r>
        <w:rPr>
          <w:spacing w:val="-1"/>
        </w:rPr>
        <w:t>package</w:t>
      </w:r>
      <w:r>
        <w:rPr>
          <w:spacing w:val="-2"/>
        </w:rPr>
        <w:t xml:space="preserve"> </w:t>
      </w:r>
      <w:r>
        <w:rPr>
          <w:spacing w:val="-1"/>
        </w:rPr>
        <w:t>required</w:t>
      </w:r>
      <w:r>
        <w:rPr>
          <w:spacing w:val="-2"/>
        </w:rPr>
        <w:t xml:space="preserve"> </w:t>
      </w:r>
      <w:r>
        <w:t>to</w:t>
      </w:r>
      <w:r>
        <w:rPr>
          <w:spacing w:val="-2"/>
        </w:rPr>
        <w:t xml:space="preserve"> </w:t>
      </w:r>
      <w:r>
        <w:rPr>
          <w:spacing w:val="-1"/>
        </w:rPr>
        <w:t>meet</w:t>
      </w:r>
      <w:r>
        <w:rPr>
          <w:spacing w:val="-3"/>
        </w:rPr>
        <w:t xml:space="preserve"> </w:t>
      </w:r>
      <w:r>
        <w:t xml:space="preserve">the </w:t>
      </w:r>
      <w:r>
        <w:rPr>
          <w:spacing w:val="-1"/>
        </w:rPr>
        <w:t>assessed</w:t>
      </w:r>
      <w:r>
        <w:t xml:space="preserve"> </w:t>
      </w:r>
      <w:r>
        <w:rPr>
          <w:spacing w:val="-1"/>
        </w:rPr>
        <w:t>needs</w:t>
      </w:r>
      <w:r>
        <w:rPr>
          <w:spacing w:val="-2"/>
        </w:rPr>
        <w:t xml:space="preserve"> </w:t>
      </w:r>
      <w:r>
        <w:rPr>
          <w:spacing w:val="-1"/>
        </w:rPr>
        <w:t>and</w:t>
      </w:r>
      <w:r>
        <w:rPr>
          <w:spacing w:val="-2"/>
        </w:rPr>
        <w:t xml:space="preserve"> </w:t>
      </w:r>
      <w:r>
        <w:t>the</w:t>
      </w:r>
      <w:r>
        <w:rPr>
          <w:spacing w:val="-2"/>
        </w:rPr>
        <w:t xml:space="preserve"> </w:t>
      </w:r>
      <w:r>
        <w:rPr>
          <w:spacing w:val="-1"/>
        </w:rPr>
        <w:t>relative</w:t>
      </w:r>
      <w:r>
        <w:t xml:space="preserve"> costs</w:t>
      </w:r>
      <w:r>
        <w:rPr>
          <w:spacing w:val="37"/>
        </w:rPr>
        <w:t xml:space="preserve"> </w:t>
      </w:r>
      <w:r>
        <w:rPr>
          <w:spacing w:val="-2"/>
        </w:rPr>
        <w:t>of</w:t>
      </w:r>
      <w:r>
        <w:rPr>
          <w:spacing w:val="4"/>
        </w:rPr>
        <w:t xml:space="preserve"> </w:t>
      </w:r>
      <w:r>
        <w:rPr>
          <w:spacing w:val="-2"/>
        </w:rPr>
        <w:t>providing</w:t>
      </w:r>
      <w:r>
        <w:rPr>
          <w:spacing w:val="3"/>
        </w:rPr>
        <w:t xml:space="preserve"> </w:t>
      </w:r>
      <w:r>
        <w:t>the</w:t>
      </w:r>
      <w:r>
        <w:rPr>
          <w:spacing w:val="-2"/>
        </w:rPr>
        <w:t xml:space="preserve"> </w:t>
      </w:r>
      <w:r>
        <w:rPr>
          <w:spacing w:val="-1"/>
        </w:rPr>
        <w:t>package</w:t>
      </w:r>
      <w:r>
        <w:rPr>
          <w:spacing w:val="-2"/>
        </w:rPr>
        <w:t xml:space="preserve"> of</w:t>
      </w:r>
      <w:r>
        <w:rPr>
          <w:spacing w:val="2"/>
        </w:rPr>
        <w:t xml:space="preserve"> </w:t>
      </w:r>
      <w:r>
        <w:rPr>
          <w:spacing w:val="-1"/>
        </w:rPr>
        <w:t>choice</w:t>
      </w:r>
      <w:r>
        <w:t xml:space="preserve"> </w:t>
      </w:r>
      <w:r>
        <w:rPr>
          <w:spacing w:val="-1"/>
        </w:rPr>
        <w:t>considered</w:t>
      </w:r>
      <w:r>
        <w:t xml:space="preserve"> </w:t>
      </w:r>
      <w:r>
        <w:rPr>
          <w:spacing w:val="-1"/>
        </w:rPr>
        <w:t>against</w:t>
      </w:r>
      <w:r>
        <w:rPr>
          <w:spacing w:val="2"/>
        </w:rPr>
        <w:t xml:space="preserve"> </w:t>
      </w:r>
      <w:r>
        <w:t>the</w:t>
      </w:r>
      <w:r>
        <w:rPr>
          <w:spacing w:val="-2"/>
        </w:rPr>
        <w:t xml:space="preserve"> </w:t>
      </w:r>
      <w:r>
        <w:rPr>
          <w:spacing w:val="-1"/>
        </w:rPr>
        <w:t>relative</w:t>
      </w:r>
      <w:r>
        <w:t xml:space="preserve"> </w:t>
      </w:r>
      <w:r>
        <w:rPr>
          <w:spacing w:val="-1"/>
        </w:rPr>
        <w:t>benefit to</w:t>
      </w:r>
      <w:r>
        <w:t xml:space="preserve"> </w:t>
      </w:r>
      <w:r>
        <w:rPr>
          <w:spacing w:val="-1"/>
        </w:rPr>
        <w:t>the</w:t>
      </w:r>
      <w:r>
        <w:rPr>
          <w:spacing w:val="44"/>
        </w:rPr>
        <w:t xml:space="preserve"> </w:t>
      </w:r>
      <w:r>
        <w:rPr>
          <w:spacing w:val="-1"/>
        </w:rPr>
        <w:t>individual</w:t>
      </w:r>
    </w:p>
    <w:p w14:paraId="62732783" w14:textId="77777777" w:rsidR="009E7F68" w:rsidRDefault="009E7F68" w:rsidP="00AD335F">
      <w:pPr>
        <w:pStyle w:val="BodyText"/>
        <w:widowControl w:val="0"/>
        <w:numPr>
          <w:ilvl w:val="0"/>
          <w:numId w:val="15"/>
        </w:numPr>
        <w:tabs>
          <w:tab w:val="left" w:pos="821"/>
          <w:tab w:val="left" w:pos="1701"/>
        </w:tabs>
        <w:kinsoku w:val="0"/>
        <w:overflowPunct w:val="0"/>
        <w:autoSpaceDE w:val="0"/>
        <w:autoSpaceDN w:val="0"/>
        <w:adjustRightInd w:val="0"/>
        <w:spacing w:before="0" w:after="0" w:line="267" w:lineRule="exact"/>
        <w:ind w:left="1701" w:right="-46" w:hanging="567"/>
        <w:jc w:val="both"/>
        <w:rPr>
          <w:spacing w:val="-1"/>
        </w:rPr>
      </w:pPr>
      <w:r>
        <w:t>The</w:t>
      </w:r>
      <w:r>
        <w:rPr>
          <w:spacing w:val="-2"/>
        </w:rPr>
        <w:t xml:space="preserve"> </w:t>
      </w:r>
      <w:r>
        <w:rPr>
          <w:spacing w:val="-1"/>
        </w:rPr>
        <w:t>psychological,</w:t>
      </w:r>
      <w:r>
        <w:rPr>
          <w:spacing w:val="2"/>
        </w:rPr>
        <w:t xml:space="preserve"> </w:t>
      </w:r>
      <w:r>
        <w:rPr>
          <w:spacing w:val="-1"/>
        </w:rPr>
        <w:t>social</w:t>
      </w:r>
      <w:r>
        <w:t xml:space="preserve"> </w:t>
      </w:r>
      <w:r>
        <w:rPr>
          <w:spacing w:val="-1"/>
        </w:rPr>
        <w:t>and</w:t>
      </w:r>
      <w:r>
        <w:t xml:space="preserve"> </w:t>
      </w:r>
      <w:r>
        <w:rPr>
          <w:spacing w:val="-1"/>
        </w:rPr>
        <w:t>physical</w:t>
      </w:r>
      <w:r>
        <w:t xml:space="preserve"> </w:t>
      </w:r>
      <w:r>
        <w:rPr>
          <w:spacing w:val="-1"/>
        </w:rPr>
        <w:t>impact on</w:t>
      </w:r>
      <w:r>
        <w:rPr>
          <w:spacing w:val="-2"/>
        </w:rPr>
        <w:t xml:space="preserve"> </w:t>
      </w:r>
      <w:r>
        <w:rPr>
          <w:spacing w:val="-1"/>
        </w:rPr>
        <w:t>the</w:t>
      </w:r>
      <w:r>
        <w:t xml:space="preserve"> </w:t>
      </w:r>
      <w:r>
        <w:rPr>
          <w:spacing w:val="-1"/>
        </w:rPr>
        <w:t>individual</w:t>
      </w:r>
    </w:p>
    <w:p w14:paraId="4B85DBDD" w14:textId="337CE031" w:rsidR="00017123" w:rsidRPr="00712660" w:rsidRDefault="00017123" w:rsidP="00712660">
      <w:pPr>
        <w:pStyle w:val="Style2"/>
        <w:ind w:left="1138"/>
        <w:contextualSpacing w:val="0"/>
        <w:jc w:val="both"/>
      </w:pPr>
      <w:r>
        <w:t>The</w:t>
      </w:r>
      <w:r w:rsidRPr="00712660">
        <w:t xml:space="preserve"> </w:t>
      </w:r>
      <w:r w:rsidR="00A02D22" w:rsidRPr="00712660">
        <w:t xml:space="preserve">ICB </w:t>
      </w:r>
      <w:r w:rsidRPr="00712660">
        <w:t>considers that in</w:t>
      </w:r>
      <w:r>
        <w:t xml:space="preserve"> </w:t>
      </w:r>
      <w:r w:rsidRPr="00712660">
        <w:t>some circumstances an</w:t>
      </w:r>
      <w:r>
        <w:t xml:space="preserve"> </w:t>
      </w:r>
      <w:r w:rsidRPr="00712660">
        <w:t>individual’s needs would</w:t>
      </w:r>
      <w:r>
        <w:t xml:space="preserve"> </w:t>
      </w:r>
      <w:r w:rsidRPr="00712660">
        <w:t>most appropriately be met within</w:t>
      </w:r>
      <w:r>
        <w:t xml:space="preserve"> a </w:t>
      </w:r>
      <w:r w:rsidRPr="00712660">
        <w:t>care home</w:t>
      </w:r>
      <w:r w:rsidR="00185326" w:rsidRPr="00712660">
        <w:t>/residential/</w:t>
      </w:r>
      <w:r w:rsidR="00642116" w:rsidRPr="00712660">
        <w:t xml:space="preserve">educational </w:t>
      </w:r>
      <w:r w:rsidR="00642116">
        <w:t>setting</w:t>
      </w:r>
      <w:r w:rsidRPr="00712660">
        <w:t xml:space="preserve">. </w:t>
      </w:r>
      <w:r>
        <w:t>The</w:t>
      </w:r>
      <w:r w:rsidRPr="00712660">
        <w:t xml:space="preserve"> </w:t>
      </w:r>
      <w:r w:rsidR="00A02D22" w:rsidRPr="00712660">
        <w:t xml:space="preserve">ICB </w:t>
      </w:r>
      <w:r w:rsidRPr="00712660">
        <w:t>will</w:t>
      </w:r>
      <w:r>
        <w:t xml:space="preserve"> take</w:t>
      </w:r>
      <w:r w:rsidRPr="00712660">
        <w:t xml:space="preserve"> into consideration all</w:t>
      </w:r>
      <w:r>
        <w:t xml:space="preserve"> </w:t>
      </w:r>
      <w:r w:rsidRPr="00712660">
        <w:t>relevant circumstances</w:t>
      </w:r>
      <w:r w:rsidR="00A02D22" w:rsidRPr="00712660">
        <w:t xml:space="preserve">, such as particularly high levels of care and supervision, or the need for the direct oversight of care by a Registered Nurse.  </w:t>
      </w:r>
    </w:p>
    <w:p w14:paraId="6563FF81" w14:textId="58B18893" w:rsidR="00017123" w:rsidRPr="00712660" w:rsidRDefault="00017123" w:rsidP="00712660">
      <w:pPr>
        <w:pStyle w:val="Style2"/>
        <w:ind w:left="1138"/>
        <w:contextualSpacing w:val="0"/>
        <w:jc w:val="both"/>
      </w:pPr>
      <w:r>
        <w:t>In</w:t>
      </w:r>
      <w:r w:rsidRPr="00712660">
        <w:t xml:space="preserve"> </w:t>
      </w:r>
      <w:r>
        <w:t xml:space="preserve">the </w:t>
      </w:r>
      <w:r w:rsidRPr="00712660">
        <w:t xml:space="preserve">event that </w:t>
      </w:r>
      <w:r>
        <w:t xml:space="preserve">the </w:t>
      </w:r>
      <w:r w:rsidR="00A02D22">
        <w:t xml:space="preserve">ICB </w:t>
      </w:r>
      <w:r w:rsidRPr="00712660">
        <w:t xml:space="preserve">considers that </w:t>
      </w:r>
      <w:r>
        <w:t xml:space="preserve">the </w:t>
      </w:r>
      <w:r w:rsidRPr="00712660">
        <w:t xml:space="preserve">safety of any member of its staff or any staff contracted </w:t>
      </w:r>
      <w:r>
        <w:t>to</w:t>
      </w:r>
      <w:r w:rsidRPr="00712660">
        <w:t xml:space="preserve"> provide</w:t>
      </w:r>
      <w:r>
        <w:t xml:space="preserve"> the</w:t>
      </w:r>
      <w:r w:rsidRPr="00712660">
        <w:t xml:space="preserve"> care is at risk it shall</w:t>
      </w:r>
      <w:r>
        <w:t xml:space="preserve"> </w:t>
      </w:r>
      <w:r w:rsidRPr="00712660">
        <w:t>take</w:t>
      </w:r>
      <w:r>
        <w:t xml:space="preserve"> </w:t>
      </w:r>
      <w:r w:rsidRPr="00712660">
        <w:t>such</w:t>
      </w:r>
      <w:r>
        <w:t xml:space="preserve"> </w:t>
      </w:r>
      <w:r w:rsidRPr="00712660">
        <w:t>action</w:t>
      </w:r>
      <w:r>
        <w:t xml:space="preserve"> </w:t>
      </w:r>
      <w:r w:rsidRPr="00712660">
        <w:t>as it considers appropriate. Harassment or bullying, verbal</w:t>
      </w:r>
      <w:r>
        <w:t xml:space="preserve"> </w:t>
      </w:r>
      <w:r w:rsidRPr="00712660">
        <w:t>or physical</w:t>
      </w:r>
      <w:r>
        <w:t xml:space="preserve"> </w:t>
      </w:r>
      <w:r w:rsidRPr="00712660">
        <w:t>abuse of care</w:t>
      </w:r>
      <w:r>
        <w:t xml:space="preserve"> </w:t>
      </w:r>
      <w:r w:rsidRPr="00712660">
        <w:t>workers will</w:t>
      </w:r>
      <w:r>
        <w:t xml:space="preserve"> </w:t>
      </w:r>
      <w:r w:rsidR="00A02D22">
        <w:t xml:space="preserve">be neither </w:t>
      </w:r>
      <w:r w:rsidRPr="00712660">
        <w:t>condoned</w:t>
      </w:r>
      <w:r>
        <w:t xml:space="preserve"> </w:t>
      </w:r>
      <w:r w:rsidR="00A02D22">
        <w:t>n</w:t>
      </w:r>
      <w:r w:rsidRPr="00712660">
        <w:t>or accepted</w:t>
      </w:r>
      <w:r>
        <w:t xml:space="preserve"> </w:t>
      </w:r>
      <w:r w:rsidRPr="00712660">
        <w:t xml:space="preserve">and </w:t>
      </w:r>
      <w:r>
        <w:t xml:space="preserve">the </w:t>
      </w:r>
      <w:r w:rsidR="00A02D22">
        <w:t xml:space="preserve">ICB </w:t>
      </w:r>
      <w:r w:rsidRPr="00712660">
        <w:t>will</w:t>
      </w:r>
      <w:r>
        <w:t xml:space="preserve"> take </w:t>
      </w:r>
      <w:r w:rsidRPr="00712660">
        <w:t>any action</w:t>
      </w:r>
      <w:r>
        <w:t xml:space="preserve"> </w:t>
      </w:r>
      <w:r w:rsidRPr="00712660">
        <w:t>necessary including immediate</w:t>
      </w:r>
      <w:r>
        <w:t xml:space="preserve"> </w:t>
      </w:r>
      <w:r w:rsidRPr="00712660">
        <w:t>withdrawal</w:t>
      </w:r>
      <w:r>
        <w:t xml:space="preserve"> </w:t>
      </w:r>
      <w:r w:rsidRPr="00712660">
        <w:t xml:space="preserve">of services. </w:t>
      </w:r>
      <w:r>
        <w:t>Where,</w:t>
      </w:r>
      <w:r w:rsidRPr="00712660">
        <w:t xml:space="preserve"> in</w:t>
      </w:r>
      <w:r>
        <w:t xml:space="preserve"> </w:t>
      </w:r>
      <w:r w:rsidRPr="00712660">
        <w:t>exceptional</w:t>
      </w:r>
      <w:r>
        <w:t xml:space="preserve"> </w:t>
      </w:r>
      <w:r w:rsidRPr="00712660">
        <w:t xml:space="preserve">circumstances it is necessary </w:t>
      </w:r>
      <w:r>
        <w:t xml:space="preserve">to </w:t>
      </w:r>
      <w:r w:rsidRPr="00712660">
        <w:t xml:space="preserve">withdraw services, </w:t>
      </w:r>
      <w:r>
        <w:t>the</w:t>
      </w:r>
      <w:r w:rsidRPr="00712660">
        <w:t xml:space="preserve"> </w:t>
      </w:r>
      <w:r w:rsidR="00D9794C" w:rsidRPr="00712660">
        <w:t>ICB</w:t>
      </w:r>
      <w:r w:rsidRPr="00712660">
        <w:t xml:space="preserve"> will</w:t>
      </w:r>
      <w:r>
        <w:t xml:space="preserve"> </w:t>
      </w:r>
      <w:r w:rsidRPr="00712660">
        <w:t>urgently consider how else</w:t>
      </w:r>
      <w:r>
        <w:t xml:space="preserve"> </w:t>
      </w:r>
      <w:r w:rsidRPr="00712660">
        <w:t>(if at all) services can</w:t>
      </w:r>
      <w:r>
        <w:t xml:space="preserve"> </w:t>
      </w:r>
      <w:r w:rsidRPr="00712660">
        <w:t>be</w:t>
      </w:r>
      <w:r>
        <w:t xml:space="preserve"> </w:t>
      </w:r>
      <w:r w:rsidRPr="00712660">
        <w:t>offered.</w:t>
      </w:r>
    </w:p>
    <w:p w14:paraId="2C438A45" w14:textId="2DD141E6" w:rsidR="00D14E24" w:rsidRPr="00712660" w:rsidRDefault="00D14E24" w:rsidP="00712660">
      <w:pPr>
        <w:pStyle w:val="Style2"/>
        <w:ind w:left="1138"/>
        <w:contextualSpacing w:val="0"/>
        <w:jc w:val="both"/>
      </w:pPr>
      <w:r w:rsidRPr="00712660">
        <w:t>Respite care, defined as the provision of short-term, temporary relief to those who are caring for family members</w:t>
      </w:r>
      <w:r w:rsidR="00677D27" w:rsidRPr="00712660">
        <w:t>,</w:t>
      </w:r>
      <w:r w:rsidRPr="00712660">
        <w:t xml:space="preserve"> who might otherwise require permanent placement in a facility outside of the home</w:t>
      </w:r>
      <w:r w:rsidR="00677D27" w:rsidRPr="00712660">
        <w:t>,</w:t>
      </w:r>
      <w:r w:rsidRPr="00712660">
        <w:t xml:space="preserve"> </w:t>
      </w:r>
      <w:r w:rsidR="00545095" w:rsidRPr="00712660">
        <w:t>by replacing that care with a temporarily commissioned care package.</w:t>
      </w:r>
      <w:r w:rsidR="00677D27" w:rsidRPr="00712660">
        <w:t xml:space="preserve"> Respite</w:t>
      </w:r>
      <w:r w:rsidR="00545095" w:rsidRPr="00712660">
        <w:t xml:space="preserve"> </w:t>
      </w:r>
      <w:r w:rsidRPr="00712660">
        <w:t xml:space="preserve">can be arranged, with suitable notice to the AACC service. Respite may be arranged for the </w:t>
      </w:r>
      <w:r w:rsidR="002148CE" w:rsidRPr="00712660">
        <w:t>individual</w:t>
      </w:r>
      <w:r w:rsidRPr="00712660">
        <w:t xml:space="preserve"> in a </w:t>
      </w:r>
      <w:r w:rsidR="00677D27" w:rsidRPr="00712660">
        <w:t xml:space="preserve">placement </w:t>
      </w:r>
      <w:r w:rsidRPr="00712660">
        <w:t>if this is deemed the safest option, through a temporary enhancement to the home care package</w:t>
      </w:r>
      <w:r w:rsidR="00677D27" w:rsidRPr="00712660">
        <w:t>, or in another suitable setting</w:t>
      </w:r>
      <w:r w:rsidRPr="00712660">
        <w:t>. Respite</w:t>
      </w:r>
      <w:r w:rsidR="00185326" w:rsidRPr="00712660">
        <w:t xml:space="preserve"> </w:t>
      </w:r>
      <w:r w:rsidRPr="00712660">
        <w:t xml:space="preserve">can be arranged for a maximum of </w:t>
      </w:r>
      <w:r w:rsidR="00677D27" w:rsidRPr="00712660">
        <w:t>28 days</w:t>
      </w:r>
      <w:r w:rsidRPr="00712660">
        <w:t xml:space="preserve"> per annum</w:t>
      </w:r>
      <w:r w:rsidR="00677D27" w:rsidRPr="00712660">
        <w:t xml:space="preserve"> per case</w:t>
      </w:r>
      <w:r w:rsidRPr="00712660">
        <w:t>, unless agreed by exception.</w:t>
      </w:r>
    </w:p>
    <w:p w14:paraId="7920F29A" w14:textId="4FD9EDDE" w:rsidR="00D14E24" w:rsidRDefault="00D14E24" w:rsidP="00712660">
      <w:pPr>
        <w:pStyle w:val="Style2"/>
        <w:ind w:left="1138"/>
        <w:contextualSpacing w:val="0"/>
        <w:jc w:val="both"/>
      </w:pPr>
      <w:r w:rsidRPr="00712660">
        <w:t>Holidays</w:t>
      </w:r>
      <w:r w:rsidR="00F80DBB" w:rsidRPr="00712660">
        <w:t xml:space="preserve"> and overnight trips away from the usual place of care are not funded in addition to care commissioned directly by the ICB. The continuation of a care package in a temporary alternative setting may be facilitated where the care provider is willing to do so and the eligible individual funds al</w:t>
      </w:r>
      <w:r w:rsidR="00435EC8" w:rsidRPr="00712660">
        <w:t>l</w:t>
      </w:r>
      <w:r w:rsidR="00F80DBB" w:rsidRPr="00712660">
        <w:t xml:space="preserve"> additional expenses associated with subsistence and accommodation for their carers. Famil</w:t>
      </w:r>
      <w:r w:rsidRPr="00712660">
        <w:t xml:space="preserve">ies/friends may wish to take over provision of care </w:t>
      </w:r>
      <w:r w:rsidR="00F80DBB" w:rsidRPr="00712660">
        <w:t xml:space="preserve">to facilitate a </w:t>
      </w:r>
      <w:r w:rsidRPr="00712660">
        <w:t>holi</w:t>
      </w:r>
      <w:r w:rsidR="00F80DBB" w:rsidRPr="00712660">
        <w:t>d</w:t>
      </w:r>
      <w:r w:rsidRPr="00712660">
        <w:t>ay</w:t>
      </w:r>
      <w:r w:rsidR="00F80DBB" w:rsidRPr="00712660">
        <w:t xml:space="preserve"> away from the usual place of care delivery and</w:t>
      </w:r>
      <w:r w:rsidR="00234E92" w:rsidRPr="00712660">
        <w:t>,</w:t>
      </w:r>
      <w:r w:rsidR="00F80DBB" w:rsidRPr="00712660">
        <w:t xml:space="preserve"> provided this is a safe arrangement, is permissible. It should also be noted that </w:t>
      </w:r>
      <w:r w:rsidR="000C04BC" w:rsidRPr="00712660">
        <w:t xml:space="preserve">directly commissioned </w:t>
      </w:r>
      <w:r w:rsidR="00DA606F" w:rsidRPr="00712660">
        <w:t xml:space="preserve">AACC </w:t>
      </w:r>
      <w:r w:rsidR="00F80DBB" w:rsidRPr="00712660">
        <w:t>funding is not provided outside of the UK</w:t>
      </w:r>
      <w:r w:rsidR="000C04BC" w:rsidRPr="00712660">
        <w:t xml:space="preserve">, although an individual with a third party or Direct Payment PHB arrangement may utilise the flexibility allowed by this funding stream to personalise their care arrangements to meet their health outcomes, which may include a holiday abroad. </w:t>
      </w:r>
      <w:r w:rsidR="00F80DBB" w:rsidRPr="00712660">
        <w:t xml:space="preserve"> </w:t>
      </w:r>
    </w:p>
    <w:p w14:paraId="0E9DCF44" w14:textId="76874B44" w:rsidR="00D022B0" w:rsidRDefault="00D022B0" w:rsidP="00712660">
      <w:pPr>
        <w:pStyle w:val="Style2"/>
        <w:ind w:left="1138"/>
        <w:contextualSpacing w:val="0"/>
        <w:jc w:val="both"/>
      </w:pPr>
      <w:r>
        <w:t>CYPCC</w:t>
      </w:r>
      <w:r w:rsidR="00A34A1D">
        <w:t>,</w:t>
      </w:r>
      <w:r>
        <w:t xml:space="preserve"> in partnership with education</w:t>
      </w:r>
      <w:r w:rsidR="00A34A1D">
        <w:t>,</w:t>
      </w:r>
      <w:r>
        <w:t xml:space="preserve"> may consider joint funding of support in school where complexity of need and training indicates the need for support. For </w:t>
      </w:r>
      <w:r w:rsidR="00A34A1D">
        <w:t>e</w:t>
      </w:r>
      <w:r>
        <w:t>xample</w:t>
      </w:r>
      <w:r w:rsidR="00A34A1D">
        <w:t>:</w:t>
      </w:r>
      <w:r>
        <w:t xml:space="preserve"> a child who is tracheostomy ventilated.</w:t>
      </w:r>
    </w:p>
    <w:p w14:paraId="7F379A07" w14:textId="3F5F65F1" w:rsidR="009E7F68" w:rsidRPr="00712660" w:rsidRDefault="009E7F68" w:rsidP="00712660">
      <w:pPr>
        <w:pStyle w:val="Style2"/>
        <w:ind w:left="1138"/>
        <w:contextualSpacing w:val="0"/>
        <w:jc w:val="both"/>
      </w:pPr>
      <w:r w:rsidRPr="009E7F68">
        <w:t>In</w:t>
      </w:r>
      <w:r w:rsidRPr="00712660">
        <w:t xml:space="preserve"> </w:t>
      </w:r>
      <w:r w:rsidRPr="009E7F68">
        <w:t xml:space="preserve">the </w:t>
      </w:r>
      <w:r w:rsidRPr="00712660">
        <w:t xml:space="preserve">event that </w:t>
      </w:r>
      <w:r w:rsidRPr="009E7F68">
        <w:t>a</w:t>
      </w:r>
      <w:r w:rsidR="00DA606F">
        <w:t>n</w:t>
      </w:r>
      <w:r w:rsidRPr="00712660">
        <w:t xml:space="preserve"> </w:t>
      </w:r>
      <w:r w:rsidR="002148CE" w:rsidRPr="00712660">
        <w:t>individual</w:t>
      </w:r>
      <w:r w:rsidRPr="00712660">
        <w:t xml:space="preserve"> who was previously funded</w:t>
      </w:r>
      <w:r w:rsidRPr="009E7F68">
        <w:t xml:space="preserve"> </w:t>
      </w:r>
      <w:r w:rsidRPr="00712660">
        <w:t xml:space="preserve">by social services becomes eligible for NHS </w:t>
      </w:r>
      <w:r w:rsidR="00435EC8" w:rsidRPr="00712660">
        <w:t xml:space="preserve">CHC </w:t>
      </w:r>
      <w:r w:rsidRPr="00712660">
        <w:t xml:space="preserve">funding, </w:t>
      </w:r>
      <w:r w:rsidRPr="009E7F68">
        <w:t>the</w:t>
      </w:r>
      <w:r w:rsidRPr="00712660">
        <w:t xml:space="preserve"> ICB will seek </w:t>
      </w:r>
      <w:r w:rsidRPr="009E7F68">
        <w:t xml:space="preserve">to </w:t>
      </w:r>
      <w:r w:rsidRPr="00712660">
        <w:t>provide</w:t>
      </w:r>
      <w:r w:rsidRPr="009E7F68">
        <w:t xml:space="preserve"> </w:t>
      </w:r>
      <w:r w:rsidRPr="00712660">
        <w:t>this care</w:t>
      </w:r>
      <w:r w:rsidRPr="009E7F68">
        <w:t xml:space="preserve"> </w:t>
      </w:r>
      <w:r w:rsidRPr="00712660">
        <w:t>with</w:t>
      </w:r>
      <w:r w:rsidRPr="009E7F68">
        <w:t xml:space="preserve"> the</w:t>
      </w:r>
      <w:r w:rsidRPr="00712660">
        <w:t xml:space="preserve"> least disruption </w:t>
      </w:r>
      <w:r w:rsidRPr="009E7F68">
        <w:t>to</w:t>
      </w:r>
      <w:r w:rsidRPr="00712660">
        <w:t xml:space="preserve"> </w:t>
      </w:r>
      <w:r w:rsidRPr="009E7F68">
        <w:t xml:space="preserve">the </w:t>
      </w:r>
      <w:r w:rsidRPr="00712660">
        <w:t>individual. This may include taking over funding of the in-situ care package. However, i</w:t>
      </w:r>
      <w:r w:rsidRPr="009E7F68">
        <w:t>t</w:t>
      </w:r>
      <w:r w:rsidRPr="00712660">
        <w:t xml:space="preserve"> is likely that this transition</w:t>
      </w:r>
      <w:r w:rsidRPr="009E7F68">
        <w:t xml:space="preserve"> of funding stream from social to health funding is due to </w:t>
      </w:r>
      <w:r w:rsidRPr="00712660">
        <w:t>an</w:t>
      </w:r>
      <w:r w:rsidRPr="009E7F68">
        <w:t xml:space="preserve"> </w:t>
      </w:r>
      <w:r w:rsidRPr="00712660">
        <w:t>increase</w:t>
      </w:r>
      <w:r w:rsidRPr="009E7F68">
        <w:t xml:space="preserve"> </w:t>
      </w:r>
      <w:r w:rsidRPr="00712660">
        <w:t>of need</w:t>
      </w:r>
      <w:r w:rsidRPr="009E7F68">
        <w:t xml:space="preserve"> </w:t>
      </w:r>
      <w:r w:rsidRPr="00712660">
        <w:t>and provision and as such, the ICB may consider that these needs cannot be</w:t>
      </w:r>
      <w:r w:rsidRPr="009E7F68">
        <w:t xml:space="preserve"> </w:t>
      </w:r>
      <w:r w:rsidRPr="00712660">
        <w:t xml:space="preserve">met safely, or that the </w:t>
      </w:r>
      <w:r w:rsidRPr="009E7F68">
        <w:t>costs</w:t>
      </w:r>
      <w:r w:rsidRPr="00712660">
        <w:t xml:space="preserve"> of continuing</w:t>
      </w:r>
      <w:r w:rsidRPr="009E7F68">
        <w:t xml:space="preserve"> to</w:t>
      </w:r>
      <w:r w:rsidRPr="00712660">
        <w:t xml:space="preserve"> meet these</w:t>
      </w:r>
      <w:r w:rsidRPr="009E7F68">
        <w:t xml:space="preserve"> </w:t>
      </w:r>
      <w:r w:rsidRPr="00712660">
        <w:t>needs are</w:t>
      </w:r>
      <w:r w:rsidRPr="009E7F68">
        <w:t xml:space="preserve"> </w:t>
      </w:r>
      <w:r w:rsidRPr="00712660">
        <w:t>excessive</w:t>
      </w:r>
      <w:r w:rsidRPr="009E7F68">
        <w:t xml:space="preserve"> </w:t>
      </w:r>
      <w:r w:rsidRPr="00712660">
        <w:t>and</w:t>
      </w:r>
      <w:r w:rsidRPr="009E7F68">
        <w:t xml:space="preserve"> inequitable </w:t>
      </w:r>
      <w:r w:rsidRPr="00712660">
        <w:t>in</w:t>
      </w:r>
      <w:r w:rsidRPr="009E7F68">
        <w:t xml:space="preserve"> </w:t>
      </w:r>
      <w:r w:rsidRPr="00712660">
        <w:t xml:space="preserve">relation </w:t>
      </w:r>
      <w:r w:rsidRPr="009E7F68">
        <w:t xml:space="preserve">to </w:t>
      </w:r>
      <w:r w:rsidRPr="00712660">
        <w:t>other packages of care.</w:t>
      </w:r>
    </w:p>
    <w:p w14:paraId="3BD57586" w14:textId="49D69A4E" w:rsidR="00A86F27" w:rsidRPr="00712660" w:rsidRDefault="00017123" w:rsidP="00712660">
      <w:pPr>
        <w:pStyle w:val="Style2"/>
        <w:ind w:left="1138"/>
        <w:contextualSpacing w:val="0"/>
        <w:jc w:val="both"/>
      </w:pPr>
      <w:r w:rsidRPr="00712660">
        <w:t>Where an</w:t>
      </w:r>
      <w:r>
        <w:t xml:space="preserve"> </w:t>
      </w:r>
      <w:r w:rsidRPr="00712660">
        <w:t xml:space="preserve">individual who is currently receiving </w:t>
      </w:r>
      <w:r>
        <w:t xml:space="preserve">a </w:t>
      </w:r>
      <w:r w:rsidRPr="00712660">
        <w:t>domiciliary care</w:t>
      </w:r>
      <w:r>
        <w:t xml:space="preserve"> </w:t>
      </w:r>
      <w:r w:rsidRPr="00712660">
        <w:t>package has been assessed</w:t>
      </w:r>
      <w:r>
        <w:t xml:space="preserve"> </w:t>
      </w:r>
      <w:r w:rsidRPr="00712660">
        <w:t xml:space="preserve">and </w:t>
      </w:r>
      <w:r w:rsidR="00A86F27" w:rsidRPr="00712660">
        <w:t xml:space="preserve">it is </w:t>
      </w:r>
      <w:r w:rsidRPr="00712660">
        <w:t xml:space="preserve">deemed that their </w:t>
      </w:r>
      <w:r w:rsidR="00A86F27" w:rsidRPr="00712660">
        <w:t xml:space="preserve">care </w:t>
      </w:r>
      <w:r w:rsidRPr="00712660">
        <w:t>needs have</w:t>
      </w:r>
      <w:r>
        <w:t xml:space="preserve"> </w:t>
      </w:r>
      <w:r w:rsidRPr="00712660">
        <w:t xml:space="preserve">changed, </w:t>
      </w:r>
      <w:r>
        <w:t>the</w:t>
      </w:r>
      <w:r w:rsidRPr="00712660">
        <w:t xml:space="preserve"> </w:t>
      </w:r>
      <w:r w:rsidR="00A86F27" w:rsidRPr="00712660">
        <w:t xml:space="preserve">ICB </w:t>
      </w:r>
      <w:r w:rsidRPr="00712660">
        <w:t>will</w:t>
      </w:r>
      <w:r>
        <w:t xml:space="preserve"> </w:t>
      </w:r>
      <w:r w:rsidRPr="00712660">
        <w:t>consider whether the current care</w:t>
      </w:r>
      <w:r>
        <w:t xml:space="preserve"> </w:t>
      </w:r>
      <w:r w:rsidRPr="00712660">
        <w:t xml:space="preserve">package remains appropriate. </w:t>
      </w:r>
      <w:r>
        <w:t>Where the</w:t>
      </w:r>
      <w:r w:rsidRPr="00712660">
        <w:t xml:space="preserve"> </w:t>
      </w:r>
      <w:r w:rsidR="00A86F27" w:rsidRPr="00712660">
        <w:t xml:space="preserve">ICB </w:t>
      </w:r>
      <w:r w:rsidRPr="00712660">
        <w:t>deems that the</w:t>
      </w:r>
      <w:r>
        <w:t xml:space="preserve"> </w:t>
      </w:r>
      <w:r w:rsidRPr="00712660">
        <w:t>current care package is not appropriate</w:t>
      </w:r>
      <w:r>
        <w:t xml:space="preserve"> </w:t>
      </w:r>
      <w:r w:rsidRPr="00712660">
        <w:t>and does not approve an</w:t>
      </w:r>
      <w:r>
        <w:t xml:space="preserve"> </w:t>
      </w:r>
      <w:r w:rsidRPr="00712660">
        <w:t>amended domiciliary care</w:t>
      </w:r>
      <w:r>
        <w:t xml:space="preserve"> </w:t>
      </w:r>
      <w:r w:rsidRPr="00712660">
        <w:t>package, the</w:t>
      </w:r>
      <w:r>
        <w:t xml:space="preserve"> </w:t>
      </w:r>
      <w:r w:rsidRPr="00712660">
        <w:t>individual will</w:t>
      </w:r>
      <w:r>
        <w:t xml:space="preserve"> </w:t>
      </w:r>
      <w:r w:rsidR="00A86F27">
        <w:t xml:space="preserve">be offered </w:t>
      </w:r>
      <w:r w:rsidRPr="00712660">
        <w:t>an</w:t>
      </w:r>
      <w:r>
        <w:t xml:space="preserve"> </w:t>
      </w:r>
      <w:r w:rsidRPr="00712660">
        <w:t>alternative</w:t>
      </w:r>
      <w:r>
        <w:t xml:space="preserve"> </w:t>
      </w:r>
      <w:r w:rsidRPr="00712660">
        <w:t>care</w:t>
      </w:r>
      <w:r>
        <w:t xml:space="preserve"> </w:t>
      </w:r>
      <w:r w:rsidRPr="00712660">
        <w:t>package approved</w:t>
      </w:r>
      <w:r>
        <w:t xml:space="preserve"> </w:t>
      </w:r>
      <w:r w:rsidRPr="00712660">
        <w:t xml:space="preserve">by </w:t>
      </w:r>
      <w:r>
        <w:t xml:space="preserve">the </w:t>
      </w:r>
      <w:r w:rsidR="00A86F27">
        <w:t>ICB</w:t>
      </w:r>
      <w:r w:rsidRPr="00712660">
        <w:t xml:space="preserve">. </w:t>
      </w:r>
    </w:p>
    <w:p w14:paraId="78A5BA84" w14:textId="48EA6E50" w:rsidR="009E7F68" w:rsidRPr="00712660" w:rsidRDefault="009E7F68" w:rsidP="00712660">
      <w:pPr>
        <w:pStyle w:val="Style2"/>
        <w:ind w:left="1138"/>
        <w:contextualSpacing w:val="0"/>
        <w:jc w:val="both"/>
      </w:pPr>
      <w:r>
        <w:t>The</w:t>
      </w:r>
      <w:r w:rsidRPr="00712660">
        <w:t xml:space="preserve"> ICB will</w:t>
      </w:r>
      <w:r>
        <w:t xml:space="preserve"> </w:t>
      </w:r>
      <w:r w:rsidRPr="00712660">
        <w:t xml:space="preserve">consider that it is </w:t>
      </w:r>
      <w:r>
        <w:t>a</w:t>
      </w:r>
      <w:r w:rsidRPr="00712660">
        <w:t xml:space="preserve"> refusal</w:t>
      </w:r>
      <w:r>
        <w:t xml:space="preserve"> </w:t>
      </w:r>
      <w:r w:rsidRPr="00712660">
        <w:t>of NHS-funded services where</w:t>
      </w:r>
      <w:r>
        <w:t xml:space="preserve"> the ICB </w:t>
      </w:r>
      <w:r w:rsidRPr="00712660">
        <w:t>has offered the individual what it considers is an</w:t>
      </w:r>
      <w:r>
        <w:t xml:space="preserve"> </w:t>
      </w:r>
      <w:r w:rsidRPr="00712660">
        <w:t xml:space="preserve">appropriate care package </w:t>
      </w:r>
      <w:r>
        <w:t>to</w:t>
      </w:r>
      <w:r w:rsidRPr="00712660">
        <w:t xml:space="preserve"> meet </w:t>
      </w:r>
      <w:r>
        <w:t>the</w:t>
      </w:r>
      <w:r w:rsidRPr="00712660">
        <w:t xml:space="preserve"> individual’s assessed needs and this is not accepted</w:t>
      </w:r>
      <w:r>
        <w:t xml:space="preserve"> </w:t>
      </w:r>
      <w:r w:rsidRPr="00712660">
        <w:t xml:space="preserve">by </w:t>
      </w:r>
      <w:r>
        <w:t>the</w:t>
      </w:r>
      <w:r w:rsidRPr="00712660">
        <w:t xml:space="preserve"> individual</w:t>
      </w:r>
      <w:r>
        <w:t xml:space="preserve"> </w:t>
      </w:r>
      <w:r w:rsidRPr="00712660">
        <w:t>or their representative</w:t>
      </w:r>
      <w:r>
        <w:t xml:space="preserve"> </w:t>
      </w:r>
      <w:r w:rsidRPr="00712660">
        <w:t>(including cases where the individual</w:t>
      </w:r>
      <w:r>
        <w:t xml:space="preserve"> </w:t>
      </w:r>
      <w:r w:rsidRPr="00712660">
        <w:t xml:space="preserve">has requested </w:t>
      </w:r>
      <w:r>
        <w:t xml:space="preserve">a </w:t>
      </w:r>
      <w:r w:rsidRPr="00712660">
        <w:t xml:space="preserve">particular package and </w:t>
      </w:r>
      <w:r>
        <w:t>the</w:t>
      </w:r>
      <w:r w:rsidRPr="00712660">
        <w:t xml:space="preserve"> </w:t>
      </w:r>
      <w:r w:rsidR="00D9794C" w:rsidRPr="00712660">
        <w:t>ICB</w:t>
      </w:r>
      <w:r w:rsidRPr="00712660">
        <w:t xml:space="preserve"> has taken</w:t>
      </w:r>
      <w:r>
        <w:t xml:space="preserve"> a</w:t>
      </w:r>
      <w:r w:rsidRPr="00712660">
        <w:t xml:space="preserve"> decision</w:t>
      </w:r>
      <w:r>
        <w:t xml:space="preserve"> </w:t>
      </w:r>
      <w:r w:rsidRPr="00712660">
        <w:t>that the package will</w:t>
      </w:r>
      <w:r>
        <w:t xml:space="preserve"> </w:t>
      </w:r>
      <w:r w:rsidRPr="00712660">
        <w:t>not be</w:t>
      </w:r>
      <w:r>
        <w:t xml:space="preserve"> </w:t>
      </w:r>
      <w:r w:rsidR="00435EC8" w:rsidRPr="00712660">
        <w:t>commissioned but</w:t>
      </w:r>
      <w:r w:rsidRPr="00712660">
        <w:t xml:space="preserve"> has offered</w:t>
      </w:r>
      <w:r>
        <w:t xml:space="preserve"> </w:t>
      </w:r>
      <w:r w:rsidRPr="00712660">
        <w:t>an alternative</w:t>
      </w:r>
      <w:r>
        <w:t xml:space="preserve"> </w:t>
      </w:r>
      <w:r w:rsidRPr="00712660">
        <w:t>package</w:t>
      </w:r>
      <w:r>
        <w:t xml:space="preserve"> </w:t>
      </w:r>
      <w:r w:rsidRPr="00712660">
        <w:t>of care).</w:t>
      </w:r>
    </w:p>
    <w:p w14:paraId="7D65E985" w14:textId="6496D3F1" w:rsidR="009E7F68" w:rsidRPr="00712660" w:rsidRDefault="009E7F68" w:rsidP="00712660">
      <w:pPr>
        <w:pStyle w:val="Style2"/>
        <w:ind w:left="1138"/>
        <w:contextualSpacing w:val="0"/>
        <w:jc w:val="both"/>
      </w:pPr>
      <w:r>
        <w:t>The</w:t>
      </w:r>
      <w:r w:rsidRPr="00712660">
        <w:t xml:space="preserve"> ICB will work with</w:t>
      </w:r>
      <w:r>
        <w:t xml:space="preserve"> </w:t>
      </w:r>
      <w:r w:rsidRPr="00712660">
        <w:t>the</w:t>
      </w:r>
      <w:r>
        <w:t xml:space="preserve"> </w:t>
      </w:r>
      <w:r w:rsidRPr="00712660">
        <w:t>individual</w:t>
      </w:r>
      <w:r>
        <w:t xml:space="preserve"> to </w:t>
      </w:r>
      <w:r w:rsidRPr="00712660">
        <w:t>establish</w:t>
      </w:r>
      <w:r>
        <w:t xml:space="preserve"> a</w:t>
      </w:r>
      <w:r w:rsidRPr="00712660">
        <w:t xml:space="preserve"> </w:t>
      </w:r>
      <w:r>
        <w:t xml:space="preserve">final </w:t>
      </w:r>
      <w:r w:rsidRPr="00712660">
        <w:t xml:space="preserve">offer. If this is declined, </w:t>
      </w:r>
      <w:r>
        <w:t>the ICB</w:t>
      </w:r>
      <w:r w:rsidRPr="00712660">
        <w:t xml:space="preserve"> will</w:t>
      </w:r>
      <w:r>
        <w:t xml:space="preserve"> </w:t>
      </w:r>
      <w:r w:rsidRPr="00712660">
        <w:t>formally write</w:t>
      </w:r>
      <w:r>
        <w:t xml:space="preserve"> to the</w:t>
      </w:r>
      <w:r w:rsidRPr="00712660">
        <w:t xml:space="preserve"> individual</w:t>
      </w:r>
      <w:r>
        <w:t xml:space="preserve"> </w:t>
      </w:r>
      <w:r w:rsidRPr="00712660">
        <w:t>offering</w:t>
      </w:r>
      <w:r>
        <w:t xml:space="preserve"> </w:t>
      </w:r>
      <w:r w:rsidRPr="00712660">
        <w:t>th</w:t>
      </w:r>
      <w:r w:rsidR="008E1A22" w:rsidRPr="00712660">
        <w:t>e</w:t>
      </w:r>
      <w:r w:rsidRPr="00712660">
        <w:t xml:space="preserve"> care</w:t>
      </w:r>
      <w:r>
        <w:t xml:space="preserve"> </w:t>
      </w:r>
      <w:r w:rsidRPr="00712660">
        <w:t>package. If there</w:t>
      </w:r>
      <w:r>
        <w:t xml:space="preserve"> </w:t>
      </w:r>
      <w:r w:rsidRPr="00712660">
        <w:t>is no response</w:t>
      </w:r>
      <w:r>
        <w:t xml:space="preserve"> </w:t>
      </w:r>
      <w:r w:rsidRPr="00712660">
        <w:t xml:space="preserve">after 14 days, </w:t>
      </w:r>
      <w:r>
        <w:t>a</w:t>
      </w:r>
      <w:r w:rsidRPr="00712660">
        <w:t xml:space="preserve"> further letter will give</w:t>
      </w:r>
      <w:r>
        <w:t xml:space="preserve"> </w:t>
      </w:r>
      <w:r w:rsidRPr="00712660">
        <w:t>28</w:t>
      </w:r>
      <w:r>
        <w:t xml:space="preserve"> </w:t>
      </w:r>
      <w:r w:rsidRPr="00712660">
        <w:t>days’</w:t>
      </w:r>
      <w:r>
        <w:t xml:space="preserve"> </w:t>
      </w:r>
      <w:r w:rsidRPr="00712660">
        <w:t>notice</w:t>
      </w:r>
      <w:r>
        <w:t xml:space="preserve"> </w:t>
      </w:r>
      <w:r w:rsidRPr="00712660">
        <w:t>of withdrawal of the offer of funding.</w:t>
      </w:r>
    </w:p>
    <w:p w14:paraId="218CB484" w14:textId="094DBF70" w:rsidR="008E1A22" w:rsidRPr="00712660" w:rsidRDefault="008E1A22" w:rsidP="00712660">
      <w:pPr>
        <w:pStyle w:val="Style2"/>
        <w:ind w:left="1138"/>
        <w:contextualSpacing w:val="0"/>
        <w:jc w:val="both"/>
      </w:pPr>
      <w:r w:rsidRPr="00712660">
        <w:t>An</w:t>
      </w:r>
      <w:r>
        <w:t xml:space="preserve"> </w:t>
      </w:r>
      <w:r w:rsidRPr="00712660">
        <w:t>individual</w:t>
      </w:r>
      <w:r>
        <w:t xml:space="preserve"> </w:t>
      </w:r>
      <w:r w:rsidRPr="00712660">
        <w:t xml:space="preserve">retains </w:t>
      </w:r>
      <w:r>
        <w:t>the</w:t>
      </w:r>
      <w:r w:rsidRPr="00712660">
        <w:t xml:space="preserve"> right </w:t>
      </w:r>
      <w:r>
        <w:t xml:space="preserve">to </w:t>
      </w:r>
      <w:r w:rsidRPr="00712660">
        <w:t>decline</w:t>
      </w:r>
      <w:r>
        <w:t xml:space="preserve"> </w:t>
      </w:r>
      <w:r w:rsidRPr="00712660">
        <w:t>NHS</w:t>
      </w:r>
      <w:r>
        <w:t xml:space="preserve"> </w:t>
      </w:r>
      <w:r w:rsidRPr="00712660">
        <w:t>services and make their own</w:t>
      </w:r>
      <w:r>
        <w:t xml:space="preserve"> </w:t>
      </w:r>
      <w:r w:rsidRPr="00712660">
        <w:t>private arrangements. However. if an</w:t>
      </w:r>
      <w:r>
        <w:t xml:space="preserve"> </w:t>
      </w:r>
      <w:r w:rsidRPr="00712660">
        <w:t>individual</w:t>
      </w:r>
      <w:r>
        <w:t xml:space="preserve"> </w:t>
      </w:r>
      <w:r w:rsidRPr="00712660">
        <w:t>chooses to</w:t>
      </w:r>
      <w:r>
        <w:t xml:space="preserve"> </w:t>
      </w:r>
      <w:r w:rsidRPr="00712660">
        <w:t>decline</w:t>
      </w:r>
      <w:r>
        <w:t xml:space="preserve"> </w:t>
      </w:r>
      <w:r w:rsidRPr="00712660">
        <w:t xml:space="preserve">support from CHC, they should be advised to not do </w:t>
      </w:r>
      <w:r>
        <w:t xml:space="preserve">so </w:t>
      </w:r>
      <w:r w:rsidRPr="00712660">
        <w:t xml:space="preserve">in </w:t>
      </w:r>
      <w:r>
        <w:t>the</w:t>
      </w:r>
      <w:r w:rsidRPr="00712660">
        <w:t xml:space="preserve"> belief that they will</w:t>
      </w:r>
      <w:r>
        <w:t xml:space="preserve"> </w:t>
      </w:r>
      <w:r w:rsidRPr="00712660">
        <w:t>obtain</w:t>
      </w:r>
      <w:r>
        <w:t xml:space="preserve"> </w:t>
      </w:r>
      <w:r w:rsidRPr="00712660">
        <w:t xml:space="preserve">services </w:t>
      </w:r>
      <w:r>
        <w:t>from</w:t>
      </w:r>
      <w:r w:rsidRPr="00712660">
        <w:t xml:space="preserve"> </w:t>
      </w:r>
      <w:r>
        <w:t>the</w:t>
      </w:r>
      <w:r w:rsidRPr="00712660">
        <w:t xml:space="preserve"> Local</w:t>
      </w:r>
      <w:r>
        <w:t xml:space="preserve"> </w:t>
      </w:r>
      <w:r w:rsidRPr="00712660">
        <w:t>Authority.</w:t>
      </w:r>
    </w:p>
    <w:p w14:paraId="598377F2" w14:textId="79655973" w:rsidR="00234E92" w:rsidRPr="0015255F" w:rsidRDefault="009769B3" w:rsidP="00712660">
      <w:pPr>
        <w:pStyle w:val="Heading3"/>
      </w:pPr>
      <w:bookmarkStart w:id="70" w:name="_Toc110851949"/>
      <w:r>
        <w:t>Safe and supportive observations</w:t>
      </w:r>
      <w:bookmarkEnd w:id="70"/>
    </w:p>
    <w:p w14:paraId="2C461DA7" w14:textId="705A8EED" w:rsidR="00234E92" w:rsidRDefault="00234E92" w:rsidP="00712660">
      <w:pPr>
        <w:pStyle w:val="Style2"/>
        <w:ind w:left="1138"/>
        <w:contextualSpacing w:val="0"/>
        <w:jc w:val="both"/>
      </w:pPr>
      <w:r>
        <w:t xml:space="preserve">A number of </w:t>
      </w:r>
      <w:r w:rsidRPr="004A6917">
        <w:t>service user</w:t>
      </w:r>
      <w:r>
        <w:t>s,</w:t>
      </w:r>
      <w:r w:rsidRPr="004A6917">
        <w:t xml:space="preserve"> such as the vulnerable older person, those at risk of extending physical injury, people with cerebral injury, learning disabilities</w:t>
      </w:r>
      <w:r w:rsidR="00A84684">
        <w:t xml:space="preserve">, children </w:t>
      </w:r>
      <w:r w:rsidRPr="004A6917">
        <w:t>and/or those lacking the mental capacity to</w:t>
      </w:r>
      <w:r>
        <w:t xml:space="preserve"> support safe decision making</w:t>
      </w:r>
      <w:r w:rsidRPr="004A6917">
        <w:t xml:space="preserve">, </w:t>
      </w:r>
      <w:r>
        <w:t xml:space="preserve">may require enhanced levels of </w:t>
      </w:r>
      <w:r w:rsidRPr="004A6917">
        <w:t>observations and support.</w:t>
      </w:r>
      <w:r>
        <w:t xml:space="preserve"> </w:t>
      </w:r>
    </w:p>
    <w:p w14:paraId="5A9184F6" w14:textId="5D2A0F22" w:rsidR="00234E92" w:rsidRPr="004A6917" w:rsidRDefault="00234E92" w:rsidP="00712660">
      <w:pPr>
        <w:pStyle w:val="Style2"/>
        <w:ind w:left="1138"/>
        <w:contextualSpacing w:val="0"/>
        <w:jc w:val="both"/>
      </w:pPr>
      <w:r w:rsidRPr="004A6917">
        <w:t>Supportive observations are there to ensure the safe and sensitive monitoring of the service user’s physical and psychological well-being</w:t>
      </w:r>
      <w:r>
        <w:t>.</w:t>
      </w:r>
      <w:r w:rsidRPr="004A6917">
        <w:t xml:space="preserve"> This monitoring should </w:t>
      </w:r>
      <w:r>
        <w:t>support</w:t>
      </w:r>
      <w:r w:rsidRPr="004A6917">
        <w:t xml:space="preserve"> staff members to quickly identify changes in the service user’s condition and/or well-being</w:t>
      </w:r>
      <w:r>
        <w:t xml:space="preserve"> to enable</w:t>
      </w:r>
      <w:r w:rsidRPr="004A6917">
        <w:t xml:space="preserve"> a rapid and appropriate response to minimise the risks or potential harm to self or</w:t>
      </w:r>
      <w:r w:rsidRPr="00712660">
        <w:t xml:space="preserve"> </w:t>
      </w:r>
      <w:r w:rsidRPr="004A6917">
        <w:t>others.</w:t>
      </w:r>
    </w:p>
    <w:p w14:paraId="0C1F0FFC" w14:textId="31938111" w:rsidR="00234E92" w:rsidRDefault="00234E92" w:rsidP="00712660">
      <w:pPr>
        <w:pStyle w:val="Style2"/>
        <w:ind w:left="1138"/>
        <w:contextualSpacing w:val="0"/>
        <w:jc w:val="both"/>
      </w:pPr>
      <w:r w:rsidRPr="004A6917">
        <w:t xml:space="preserve">Supportive observations should be </w:t>
      </w:r>
      <w:r>
        <w:t xml:space="preserve">always be </w:t>
      </w:r>
      <w:r w:rsidRPr="004A6917">
        <w:t>set at the least restrictive level</w:t>
      </w:r>
      <w:r>
        <w:t>, this includes for the least amount of time,</w:t>
      </w:r>
      <w:r w:rsidRPr="004A6917">
        <w:t xml:space="preserve"> within the least restrictive environment. </w:t>
      </w:r>
      <w:r w:rsidR="003C4CC3">
        <w:t xml:space="preserve">Regular review and early reduction in restrictive practices is the expected approach.   </w:t>
      </w:r>
    </w:p>
    <w:p w14:paraId="7241A0F0" w14:textId="02CB2A5E" w:rsidR="00234E92" w:rsidRDefault="009769B3" w:rsidP="00712660">
      <w:pPr>
        <w:pStyle w:val="Style2"/>
        <w:ind w:left="1138"/>
        <w:contextualSpacing w:val="0"/>
        <w:jc w:val="both"/>
      </w:pPr>
      <w:r>
        <w:t xml:space="preserve">The Standing Nursing &amp; Midwifery Advisory Committee (SNMAC) Proactive guidance on the Safe and Supportive observation of </w:t>
      </w:r>
      <w:r w:rsidR="002148CE">
        <w:t>Individual</w:t>
      </w:r>
      <w:r>
        <w:t xml:space="preserve">s at risk (1999) </w:t>
      </w:r>
      <w:r w:rsidR="00234E92" w:rsidRPr="002D4819">
        <w:t xml:space="preserve">recommends four levels of observation </w:t>
      </w:r>
      <w:r w:rsidR="00234E92">
        <w:t xml:space="preserve">to be </w:t>
      </w:r>
      <w:r w:rsidR="00234E92" w:rsidRPr="002D4819">
        <w:t>adopted throughout provision of NHS care to ensure consistent practice</w:t>
      </w:r>
      <w:r w:rsidR="00C211E8">
        <w:t xml:space="preserve">. This methodology is adopted by the ICB. </w:t>
      </w:r>
    </w:p>
    <w:p w14:paraId="5D23B08F" w14:textId="47250CAC" w:rsidR="00185326" w:rsidRDefault="00185326" w:rsidP="00712660">
      <w:pPr>
        <w:pStyle w:val="Style2"/>
        <w:ind w:left="1138"/>
        <w:contextualSpacing w:val="0"/>
        <w:jc w:val="both"/>
      </w:pPr>
      <w:r w:rsidRPr="00A34A1D">
        <w:t xml:space="preserve">This guidance relates to individuals who are 18 and over. For CYPCC all domiciliary packages </w:t>
      </w:r>
      <w:r w:rsidR="00642116" w:rsidRPr="00A34A1D">
        <w:t>are delivered as</w:t>
      </w:r>
      <w:r w:rsidRPr="00A34A1D">
        <w:t xml:space="preserve"> </w:t>
      </w:r>
      <w:r w:rsidRPr="000F723D">
        <w:t>Close Supportive Observation (Level 4)</w:t>
      </w:r>
      <w:r w:rsidR="00DA606F">
        <w:t xml:space="preserve"> unless exceptionality is determined</w:t>
      </w:r>
      <w:r w:rsidRPr="000F723D">
        <w:t>. Safe and supportive observations within Residential and/or residential school placements are based on bespoke need and robust individual risk assessments.</w:t>
      </w:r>
    </w:p>
    <w:p w14:paraId="16F6D14B" w14:textId="736408FC" w:rsidR="00234E92" w:rsidRPr="002D4819" w:rsidRDefault="00234E92" w:rsidP="00712660">
      <w:pPr>
        <w:pStyle w:val="Style2"/>
        <w:ind w:left="1138"/>
        <w:contextualSpacing w:val="0"/>
        <w:jc w:val="both"/>
      </w:pPr>
      <w:r w:rsidRPr="00712660">
        <w:t xml:space="preserve">General Observations </w:t>
      </w:r>
      <w:r w:rsidR="009769B3" w:rsidRPr="00712660">
        <w:t>(</w:t>
      </w:r>
      <w:r w:rsidRPr="00712660">
        <w:t>Level 1</w:t>
      </w:r>
      <w:r w:rsidR="009769B3" w:rsidRPr="00712660">
        <w:t>)</w:t>
      </w:r>
      <w:r w:rsidRPr="002D4819">
        <w:t xml:space="preserve"> this is the minimum acceptable level of observation for any and all service users</w:t>
      </w:r>
      <w:r>
        <w:t xml:space="preserve">. </w:t>
      </w:r>
      <w:r w:rsidRPr="002D4819">
        <w:t>The location of all service users should be known to staff at all times, but not all service users need to be kept within sight. At least once every shift a nurse /s</w:t>
      </w:r>
      <w:r>
        <w:t xml:space="preserve">enior staff member/named </w:t>
      </w:r>
      <w:r w:rsidRPr="002D4819">
        <w:t>carer should sit down and talk with each service user to assess their health and wellbeing revising care plans as appropriate This must always be recorded in the service user’s care notes.</w:t>
      </w:r>
    </w:p>
    <w:p w14:paraId="4561A7D1" w14:textId="5FB9AEF8" w:rsidR="00234E92" w:rsidRDefault="00234E92" w:rsidP="00712660">
      <w:pPr>
        <w:pStyle w:val="Style2"/>
        <w:ind w:left="1138"/>
        <w:contextualSpacing w:val="0"/>
        <w:jc w:val="both"/>
      </w:pPr>
      <w:r w:rsidRPr="00712660">
        <w:t xml:space="preserve">Intermittent Supportive Observations </w:t>
      </w:r>
      <w:r w:rsidR="009769B3" w:rsidRPr="00712660">
        <w:t>(</w:t>
      </w:r>
      <w:r w:rsidRPr="00712660">
        <w:t>Level 2</w:t>
      </w:r>
      <w:r w:rsidR="009769B3" w:rsidRPr="00712660">
        <w:t>)</w:t>
      </w:r>
      <w:r w:rsidRPr="002D4819">
        <w:t xml:space="preserve"> sometime referred to as “Intentional Care Rounding” a system of delivering supportive care to the most vulnerable people in a residential/nursing setting. The identified vulnerable group defined as a “cohort” and assessed as requiring an increased level of observation to minimise risk and harm</w:t>
      </w:r>
      <w:r w:rsidR="00265BC6">
        <w:t xml:space="preserve">. </w:t>
      </w:r>
      <w:r w:rsidRPr="002D4819">
        <w:t>The aim of this level of supportive observation is to ensure that those who need regular help and support are provided with a routine where help and care is provided. Ensuring that person centred care is delivered as part of the unit’s routine to all vulnerable people all of the time. Intentional care rounds/rounding provide assurance, prompts, and fundamental care, ensuring early response to change in condition whilst promoting independence and maintaining safety.</w:t>
      </w:r>
    </w:p>
    <w:p w14:paraId="1198C382" w14:textId="717A5102" w:rsidR="00265BC6" w:rsidRDefault="00265BC6" w:rsidP="00712660">
      <w:pPr>
        <w:pStyle w:val="Style2"/>
        <w:ind w:left="1138"/>
        <w:contextualSpacing w:val="0"/>
        <w:jc w:val="both"/>
      </w:pPr>
      <w:r>
        <w:t xml:space="preserve">Level 2 observations should be implemented </w:t>
      </w:r>
      <w:r w:rsidR="00234E92" w:rsidRPr="002D4819">
        <w:t>for</w:t>
      </w:r>
      <w:r>
        <w:t xml:space="preserve"> a</w:t>
      </w:r>
      <w:r w:rsidR="00234E92" w:rsidRPr="002D4819">
        <w:t>ll who have triggered a multi factorial falls assessment/care plan</w:t>
      </w:r>
      <w:r>
        <w:t xml:space="preserve"> and those </w:t>
      </w:r>
      <w:r w:rsidR="00234E92" w:rsidRPr="002D4819">
        <w:t>considered to be potentially, but not immediately, at risk to themselves or others</w:t>
      </w:r>
      <w:r>
        <w:t xml:space="preserve">. </w:t>
      </w:r>
    </w:p>
    <w:p w14:paraId="7BB96646" w14:textId="7C82AFA9" w:rsidR="00234E92" w:rsidRDefault="00234E92" w:rsidP="00712660">
      <w:pPr>
        <w:pStyle w:val="Style2"/>
        <w:ind w:left="1138"/>
        <w:contextualSpacing w:val="0"/>
        <w:jc w:val="both"/>
      </w:pPr>
      <w:r w:rsidRPr="002D4819">
        <w:t>The frequency of observations must be clearly documented in the care plan and reviewed/evaluated daily. Timed interventions</w:t>
      </w:r>
      <w:r>
        <w:t xml:space="preserve"> must be</w:t>
      </w:r>
      <w:r w:rsidRPr="002D4819">
        <w:t xml:space="preserve"> recorded on appropriate assessment, care and activity charts.</w:t>
      </w:r>
    </w:p>
    <w:p w14:paraId="02008433" w14:textId="3C99E300" w:rsidR="00265BC6" w:rsidRDefault="00234E92" w:rsidP="00712660">
      <w:pPr>
        <w:pStyle w:val="Style2"/>
        <w:ind w:left="1138"/>
        <w:contextualSpacing w:val="0"/>
        <w:jc w:val="both"/>
      </w:pPr>
      <w:r w:rsidRPr="00712660">
        <w:t>Continual Supportive Observations</w:t>
      </w:r>
      <w:r w:rsidR="00265BC6" w:rsidRPr="00712660">
        <w:t xml:space="preserve"> (</w:t>
      </w:r>
      <w:r w:rsidRPr="00712660">
        <w:t>Level 3</w:t>
      </w:r>
      <w:r w:rsidR="00265BC6" w:rsidRPr="00712660">
        <w:t xml:space="preserve">) </w:t>
      </w:r>
      <w:r w:rsidRPr="002D4819">
        <w:t xml:space="preserve">is required where individuals could, at any time, make an attempt to harm themselves or others. </w:t>
      </w:r>
      <w:r w:rsidR="00265BC6">
        <w:t xml:space="preserve">The </w:t>
      </w:r>
      <w:r w:rsidR="002148CE">
        <w:t>individual</w:t>
      </w:r>
      <w:r w:rsidR="00265BC6">
        <w:t xml:space="preserve"> must be kept continuously within line of sight of a designated carer. </w:t>
      </w:r>
    </w:p>
    <w:p w14:paraId="0E769377" w14:textId="76A65389" w:rsidR="00234E92" w:rsidRDefault="00234E92" w:rsidP="00712660">
      <w:pPr>
        <w:pStyle w:val="Style2"/>
        <w:ind w:left="1138"/>
        <w:contextualSpacing w:val="0"/>
        <w:jc w:val="both"/>
      </w:pPr>
      <w:r w:rsidRPr="002D4819">
        <w:t xml:space="preserve">A continual supportive observation care plan </w:t>
      </w:r>
      <w:r w:rsidR="00265BC6">
        <w:t xml:space="preserve">(Level 3) </w:t>
      </w:r>
      <w:r w:rsidRPr="002D4819">
        <w:t>should be developed and activated and a continual supportive observation chart which should be used to record all incidents and the required interventions undertaken by those providing the continual supportive observations.</w:t>
      </w:r>
    </w:p>
    <w:p w14:paraId="0E85F626" w14:textId="65DF951F" w:rsidR="00234E92" w:rsidRPr="002D4819" w:rsidRDefault="00234E92" w:rsidP="00712660">
      <w:pPr>
        <w:pStyle w:val="Style2"/>
        <w:ind w:left="1138"/>
        <w:contextualSpacing w:val="0"/>
        <w:jc w:val="both"/>
      </w:pPr>
      <w:r w:rsidRPr="00712660">
        <w:t xml:space="preserve">Close Supportive Observation </w:t>
      </w:r>
      <w:r w:rsidR="00265BC6" w:rsidRPr="00712660">
        <w:t>(</w:t>
      </w:r>
      <w:r w:rsidRPr="00712660">
        <w:t>Level 4</w:t>
      </w:r>
      <w:r w:rsidR="00265BC6" w:rsidRPr="00712660">
        <w:t>)</w:t>
      </w:r>
      <w:r w:rsidRPr="002D4819">
        <w:t xml:space="preserve"> </w:t>
      </w:r>
      <w:r w:rsidR="00265BC6">
        <w:t>refers to a carer being continuously w</w:t>
      </w:r>
      <w:r w:rsidRPr="002D4819">
        <w:t>ithin arm’s length</w:t>
      </w:r>
      <w:r w:rsidR="00265BC6">
        <w:t xml:space="preserve"> of an individual who is </w:t>
      </w:r>
      <w:r w:rsidRPr="002D4819">
        <w:t>at the highest level of risk o</w:t>
      </w:r>
      <w:r w:rsidR="00265BC6">
        <w:t>f</w:t>
      </w:r>
      <w:r w:rsidRPr="002D4819">
        <w:t xml:space="preserve"> harming themselves or others</w:t>
      </w:r>
      <w:r w:rsidR="00265BC6">
        <w:t xml:space="preserve"> and </w:t>
      </w:r>
      <w:r w:rsidRPr="002D4819">
        <w:t>may need to be nursed in close proximity due to the frequency or level of risk. On rare occasions more than one carer may be necessary. Consideration should be given to privacy, dignity and gender of the person for whom close supportive observation is being provided.</w:t>
      </w:r>
    </w:p>
    <w:p w14:paraId="4440B80B" w14:textId="4D68A4E5" w:rsidR="00234E92" w:rsidRPr="002D4819" w:rsidRDefault="00234E92" w:rsidP="00712660">
      <w:pPr>
        <w:pStyle w:val="Style2"/>
        <w:ind w:left="1138"/>
        <w:contextualSpacing w:val="0"/>
        <w:jc w:val="both"/>
      </w:pPr>
      <w:r w:rsidRPr="002D4819">
        <w:t>Staff allocation and environmental dangers need to be discussed and incorporated into the care plan. A close supportive observation care plan</w:t>
      </w:r>
      <w:r w:rsidR="00265BC6">
        <w:t xml:space="preserve"> (</w:t>
      </w:r>
      <w:r w:rsidRPr="002D4819">
        <w:t>Level 4</w:t>
      </w:r>
      <w:r w:rsidR="00265BC6">
        <w:t>)</w:t>
      </w:r>
      <w:r w:rsidRPr="002D4819">
        <w:t xml:space="preserve"> should be developed and initiated and a close supportive observation chart which should be used to record all incidents and the required interventions undertaken by those providing the close supportive observation.</w:t>
      </w:r>
    </w:p>
    <w:p w14:paraId="3368E3B5" w14:textId="428ACED7" w:rsidR="003C4CC3" w:rsidRDefault="009769B3" w:rsidP="00712660">
      <w:pPr>
        <w:pStyle w:val="Style2"/>
        <w:ind w:left="1138"/>
        <w:contextualSpacing w:val="0"/>
        <w:jc w:val="both"/>
      </w:pPr>
      <w:r>
        <w:t xml:space="preserve">Within the domiciliary care setting, most support is arranged on a 1 to 1 or greater staff to </w:t>
      </w:r>
      <w:r w:rsidR="002148CE">
        <w:t>individual</w:t>
      </w:r>
      <w:r>
        <w:t xml:space="preserve"> ratio. This is not deemed to be </w:t>
      </w:r>
      <w:r w:rsidR="00265BC6">
        <w:t xml:space="preserve">Level 3 or 4 (as described above), </w:t>
      </w:r>
      <w:r>
        <w:t xml:space="preserve">for the purposes of this policy. Only where it is specified in the commissioning of a domiciliary care package that enhanced care and support is required at a level in excess of general observations / Level 1, is this aspect of policy to be implemented for home care.  </w:t>
      </w:r>
    </w:p>
    <w:p w14:paraId="6F37B2C8" w14:textId="622DEC4A" w:rsidR="009769B3" w:rsidRDefault="003C4CC3" w:rsidP="00712660">
      <w:pPr>
        <w:pStyle w:val="Style2"/>
        <w:ind w:left="1138"/>
        <w:contextualSpacing w:val="0"/>
        <w:jc w:val="both"/>
      </w:pPr>
      <w:r>
        <w:t xml:space="preserve">Some providers may utilise other frequencies and approaches to supportive observations, such as Level 2 implemented as ’15-minute observations / 4 times per hour’. This is discretionary and must be accompanied by evidence to support this approach. The AACC service will only additionally fund a provider for observations at Level 3 and 4.  </w:t>
      </w:r>
      <w:r w:rsidR="009769B3">
        <w:t xml:space="preserve">     </w:t>
      </w:r>
      <w:r w:rsidR="009769B3" w:rsidRPr="004A6917">
        <w:t xml:space="preserve"> </w:t>
      </w:r>
    </w:p>
    <w:p w14:paraId="52879A22" w14:textId="16CEB916" w:rsidR="00234E92" w:rsidRDefault="00234E92" w:rsidP="00712660">
      <w:pPr>
        <w:pStyle w:val="Style2"/>
        <w:ind w:left="1138"/>
        <w:contextualSpacing w:val="0"/>
        <w:jc w:val="both"/>
      </w:pPr>
      <w:r w:rsidRPr="002D4819">
        <w:t xml:space="preserve">The decision to implement supportive observations should only be made following </w:t>
      </w:r>
      <w:r w:rsidR="00642116" w:rsidRPr="002D4819">
        <w:t>a</w:t>
      </w:r>
      <w:r w:rsidRPr="002D4819">
        <w:t xml:space="preserve"> holistic</w:t>
      </w:r>
      <w:r w:rsidR="00265BC6">
        <w:t xml:space="preserve"> </w:t>
      </w:r>
      <w:r w:rsidRPr="002D4819">
        <w:t>/</w:t>
      </w:r>
      <w:r w:rsidR="00265BC6">
        <w:t xml:space="preserve"> </w:t>
      </w:r>
      <w:r w:rsidRPr="002D4819">
        <w:t>risk and multidisciplinary assessment of the service user’s physical and psychological state and mental health together with social and environmental factors at that moment in time based on contextualised needs.</w:t>
      </w:r>
    </w:p>
    <w:p w14:paraId="6980FF8A" w14:textId="139F518B" w:rsidR="00234E92" w:rsidRDefault="00234E92" w:rsidP="00712660">
      <w:pPr>
        <w:pStyle w:val="Style2"/>
        <w:ind w:left="1138"/>
        <w:contextualSpacing w:val="0"/>
        <w:jc w:val="both"/>
      </w:pPr>
      <w:r w:rsidRPr="002D4819">
        <w:t>The decision to initiate supportive observation should be established through assessed need with required level and rational</w:t>
      </w:r>
      <w:r w:rsidR="00265BC6">
        <w:t>e</w:t>
      </w:r>
      <w:r w:rsidRPr="002D4819">
        <w:t xml:space="preserve"> for the level of care and frequency of review/evaluation clearly documented in the service user’s notes</w:t>
      </w:r>
      <w:r w:rsidR="00265BC6">
        <w:t>.</w:t>
      </w:r>
    </w:p>
    <w:p w14:paraId="611D03DD" w14:textId="6207FF16" w:rsidR="00234E92" w:rsidRPr="002D4819" w:rsidRDefault="00C84261" w:rsidP="00712660">
      <w:pPr>
        <w:pStyle w:val="Style2"/>
        <w:ind w:left="1138"/>
        <w:contextualSpacing w:val="0"/>
        <w:jc w:val="both"/>
      </w:pPr>
      <w:r w:rsidRPr="002D4819">
        <w:t>Service users</w:t>
      </w:r>
      <w:r>
        <w:t xml:space="preserve"> / </w:t>
      </w:r>
      <w:r w:rsidRPr="002D4819">
        <w:t>relatives</w:t>
      </w:r>
      <w:r>
        <w:t xml:space="preserve"> (as appropriate)</w:t>
      </w:r>
      <w:r w:rsidRPr="002D4819">
        <w:t xml:space="preserve"> are to be informed of the rational</w:t>
      </w:r>
      <w:r w:rsidR="00A34A1D">
        <w:t>e</w:t>
      </w:r>
      <w:r w:rsidRPr="002D4819">
        <w:t xml:space="preserve"> for supportive observation, the level and procedures.</w:t>
      </w:r>
      <w:r>
        <w:t xml:space="preserve"> A clear and </w:t>
      </w:r>
      <w:r w:rsidRPr="002D4819">
        <w:t xml:space="preserve">open dialogue must take place regarding the reason for increasing the level of observation. </w:t>
      </w:r>
      <w:r w:rsidR="00265BC6" w:rsidRPr="002D4819">
        <w:t xml:space="preserve">The service user </w:t>
      </w:r>
      <w:r w:rsidR="00265BC6">
        <w:t xml:space="preserve">must </w:t>
      </w:r>
      <w:r w:rsidR="00265BC6" w:rsidRPr="002D4819">
        <w:t xml:space="preserve">be offered the opportunity to discuss their views and/or concerns and </w:t>
      </w:r>
      <w:r w:rsidR="00265BC6">
        <w:t xml:space="preserve">to </w:t>
      </w:r>
      <w:r w:rsidR="00265BC6" w:rsidRPr="002D4819">
        <w:t xml:space="preserve">involve </w:t>
      </w:r>
      <w:r w:rsidR="00265BC6">
        <w:t>a c</w:t>
      </w:r>
      <w:r w:rsidR="00265BC6" w:rsidRPr="002D4819">
        <w:t>arer/relative/advocate in these discussions should they wish.</w:t>
      </w:r>
      <w:r w:rsidR="00265BC6">
        <w:t xml:space="preserve"> The </w:t>
      </w:r>
      <w:r w:rsidR="00234E92" w:rsidRPr="002D4819">
        <w:t xml:space="preserve">service user’s thoughts, feelings and wishes with regard to self–harm, risk of falls or harm to others must be approached using direct and respectful questions. </w:t>
      </w:r>
      <w:r w:rsidRPr="002D4819">
        <w:t>This dialogue must be followed up in writing to both service user and carer/relative and recorded in the service users notes.</w:t>
      </w:r>
    </w:p>
    <w:p w14:paraId="312A1E90" w14:textId="67D1D4AB" w:rsidR="00234E92" w:rsidRDefault="00234E92" w:rsidP="00712660">
      <w:pPr>
        <w:pStyle w:val="Style2"/>
        <w:ind w:left="1138"/>
        <w:contextualSpacing w:val="0"/>
        <w:jc w:val="both"/>
      </w:pPr>
      <w:r w:rsidRPr="002D4819">
        <w:t>Whilst the decision to implement supportive observation must be made by the multidisciplinary team, in situations where prompt action is required, the nurse in charge or unit manager can implement a heightened level of observation, ideally in discussion with another registered nurse or on call manager</w:t>
      </w:r>
      <w:r w:rsidR="003C4CC3">
        <w:t xml:space="preserve">. </w:t>
      </w:r>
    </w:p>
    <w:p w14:paraId="228E427A" w14:textId="77D8909D" w:rsidR="00234E92" w:rsidRDefault="003C4CC3" w:rsidP="00712660">
      <w:pPr>
        <w:pStyle w:val="Style2"/>
        <w:ind w:left="1138"/>
        <w:contextualSpacing w:val="0"/>
        <w:jc w:val="both"/>
      </w:pPr>
      <w:r>
        <w:t xml:space="preserve">If at any point following a decision to implement </w:t>
      </w:r>
      <w:r w:rsidR="00234E92" w:rsidRPr="002D4819">
        <w:t>Level 3 or 4 supportive observation, this level of supportive observation cannot</w:t>
      </w:r>
      <w:r>
        <w:t xml:space="preserve"> be provided, this must be appropriately reported through incident reporting and mitigated as soon as practicable. </w:t>
      </w:r>
    </w:p>
    <w:p w14:paraId="5A8391F9" w14:textId="4A30D7D6" w:rsidR="003C4CC3" w:rsidRDefault="00234E92" w:rsidP="00712660">
      <w:pPr>
        <w:pStyle w:val="Style2"/>
        <w:ind w:left="1138"/>
        <w:contextualSpacing w:val="0"/>
        <w:jc w:val="both"/>
      </w:pPr>
      <w:r w:rsidRPr="002D4819">
        <w:t xml:space="preserve">The Nurse/Unit Manager in-charge must contact the </w:t>
      </w:r>
      <w:r w:rsidR="003C4CC3">
        <w:t xml:space="preserve">AACC service </w:t>
      </w:r>
      <w:r w:rsidRPr="002D4819">
        <w:t>as soon as possible (within 24 hours</w:t>
      </w:r>
      <w:r w:rsidR="003C4CC3">
        <w:t xml:space="preserve"> or next working day if out of hours</w:t>
      </w:r>
      <w:r w:rsidRPr="002D4819">
        <w:t xml:space="preserve">) informing them of the decision to provide supportive observation and providing copies all documentation to </w:t>
      </w:r>
      <w:r w:rsidR="003C4CC3">
        <w:t xml:space="preserve">enable the service to formally </w:t>
      </w:r>
      <w:r w:rsidRPr="002D4819">
        <w:t>validate the decision</w:t>
      </w:r>
      <w:r w:rsidR="003C4CC3">
        <w:t xml:space="preserve"> and determine the method and length of the commissioning of this level of observations.  </w:t>
      </w:r>
      <w:r w:rsidRPr="002D4819">
        <w:t xml:space="preserve"> </w:t>
      </w:r>
    </w:p>
    <w:p w14:paraId="792DD5D5" w14:textId="4ED50FDF" w:rsidR="00234E92" w:rsidRDefault="00234E92" w:rsidP="00712660">
      <w:pPr>
        <w:pStyle w:val="Style2"/>
        <w:ind w:left="1138"/>
        <w:contextualSpacing w:val="0"/>
        <w:jc w:val="both"/>
      </w:pPr>
      <w:r w:rsidRPr="002D4819">
        <w:t>Where observations are implemented due to mental health/behavioural issues, Psychiatric Liaison Services should also be contacted as soon as possible, requesting support/assessment.</w:t>
      </w:r>
    </w:p>
    <w:p w14:paraId="5CAB4E42" w14:textId="5ECEC3C3" w:rsidR="00A34A1D" w:rsidRDefault="00234E92" w:rsidP="00712660">
      <w:pPr>
        <w:pStyle w:val="Style2"/>
        <w:ind w:left="1138"/>
        <w:contextualSpacing w:val="0"/>
        <w:jc w:val="both"/>
      </w:pPr>
      <w:r w:rsidRPr="002D4819">
        <w:t xml:space="preserve">Use of assistive technology where appropriate </w:t>
      </w:r>
      <w:r w:rsidR="00A34A1D">
        <w:t xml:space="preserve">is encouraged and </w:t>
      </w:r>
      <w:r w:rsidRPr="002D4819">
        <w:t>should be implemented</w:t>
      </w:r>
      <w:r w:rsidR="00A34A1D">
        <w:t xml:space="preserve"> where possible</w:t>
      </w:r>
      <w:r w:rsidR="00EF3ABB">
        <w:t xml:space="preserve"> as least restrictive option</w:t>
      </w:r>
      <w:r w:rsidRPr="002D4819">
        <w:t xml:space="preserve">. </w:t>
      </w:r>
      <w:r w:rsidR="00A34A1D">
        <w:t xml:space="preserve">This includes apnoea, epilepsy and other movement sensor alarms that could allow for a lesser degree of direct observation but still enable monitoring and facility to provide direct support as required. Audio </w:t>
      </w:r>
      <w:r w:rsidR="00EF3ABB">
        <w:t xml:space="preserve">and /or video </w:t>
      </w:r>
      <w:r w:rsidR="00A34A1D">
        <w:t xml:space="preserve">monitoring </w:t>
      </w:r>
      <w:r w:rsidR="00EF3ABB">
        <w:t xml:space="preserve">may be authorised with explicit multidisciplinary decision and risk assessment and clear parameters to ensure privacy and dignity is maintained. Video monitoring </w:t>
      </w:r>
      <w:r w:rsidR="00DA606F">
        <w:t xml:space="preserve">as an alternative to 1 to 1 observation </w:t>
      </w:r>
      <w:r w:rsidR="00EF3ABB">
        <w:t>is not authorised for use in under 18s.</w:t>
      </w:r>
      <w:r w:rsidR="00A34A1D">
        <w:t xml:space="preserve"> </w:t>
      </w:r>
    </w:p>
    <w:p w14:paraId="0B8B2231" w14:textId="3D39034E" w:rsidR="00234E92" w:rsidRDefault="00234E92" w:rsidP="00712660">
      <w:pPr>
        <w:pStyle w:val="Style2"/>
        <w:ind w:left="1138"/>
        <w:contextualSpacing w:val="0"/>
        <w:jc w:val="both"/>
      </w:pPr>
      <w:r w:rsidRPr="002D4819">
        <w:t xml:space="preserve">Assessment of the need for </w:t>
      </w:r>
      <w:r w:rsidR="003C4CC3">
        <w:t xml:space="preserve">overnight </w:t>
      </w:r>
      <w:r w:rsidRPr="002D4819">
        <w:t xml:space="preserve">supportive observation and </w:t>
      </w:r>
      <w:r w:rsidR="003C4CC3">
        <w:t xml:space="preserve">the </w:t>
      </w:r>
      <w:r w:rsidRPr="002D4819">
        <w:t xml:space="preserve">level required must be clearly documented. </w:t>
      </w:r>
    </w:p>
    <w:p w14:paraId="132511C7" w14:textId="4F409DA7" w:rsidR="00234E92" w:rsidRDefault="00234E92" w:rsidP="00712660">
      <w:pPr>
        <w:pStyle w:val="Style2"/>
        <w:ind w:left="1138"/>
        <w:contextualSpacing w:val="0"/>
        <w:jc w:val="both"/>
      </w:pPr>
      <w:r w:rsidRPr="002D4819">
        <w:t>Review of requirement to continue supportive observation</w:t>
      </w:r>
      <w:r w:rsidR="00C84261">
        <w:t>s</w:t>
      </w:r>
      <w:r w:rsidRPr="002D4819">
        <w:t xml:space="preserve"> (day or night) and what level must be undertaken on a daily basis and documented in the service user’s notes. The </w:t>
      </w:r>
      <w:r w:rsidR="00C84261">
        <w:t xml:space="preserve">AACC service, </w:t>
      </w:r>
      <w:r w:rsidRPr="002D4819">
        <w:t>in collaboration with the multidisciplinary team</w:t>
      </w:r>
      <w:r w:rsidR="00C84261">
        <w:t xml:space="preserve"> and any specialist service involved in supporting the behaviours and risks leading to the requirement for supportive observations,</w:t>
      </w:r>
      <w:r w:rsidRPr="002D4819">
        <w:t xml:space="preserve"> should </w:t>
      </w:r>
      <w:r w:rsidR="00C84261">
        <w:t xml:space="preserve">undertake </w:t>
      </w:r>
      <w:r w:rsidRPr="002D4819">
        <w:t>review at planned intervals</w:t>
      </w:r>
      <w:r w:rsidR="00C84261">
        <w:t xml:space="preserve">. Review should consider </w:t>
      </w:r>
      <w:r w:rsidRPr="002D4819">
        <w:t>the need to curtail, reduce, maintain or increase the supportive observation plans. All appropriate documentation to be revised and recorded within the service user’s notes.</w:t>
      </w:r>
    </w:p>
    <w:p w14:paraId="5CE28E2B" w14:textId="7CECF318" w:rsidR="00234E92" w:rsidRDefault="00234E92" w:rsidP="00712660">
      <w:pPr>
        <w:pStyle w:val="Style2"/>
        <w:ind w:left="1138"/>
        <w:contextualSpacing w:val="0"/>
        <w:jc w:val="both"/>
      </w:pPr>
      <w:r w:rsidRPr="002D4819">
        <w:t>The nurse/care manager in charge will allocate staff who have been deemed competent</w:t>
      </w:r>
      <w:r w:rsidR="00C84261">
        <w:t xml:space="preserve"> to </w:t>
      </w:r>
      <w:r w:rsidRPr="002D4819">
        <w:t>carry</w:t>
      </w:r>
      <w:r w:rsidR="00C84261">
        <w:t xml:space="preserve"> </w:t>
      </w:r>
      <w:r w:rsidRPr="002D4819">
        <w:t>out the required level of supportive observation. Identified staff are required to be familiar with the service user’s care plan, environment needs and any potential and actual risk. All staff must provide and receive a thorough handover at change of shift, including the current risk factors and level of risk either to the person, others or environment. The length of time any one member of staff may provide supportive observation to a service user also needs to be specified within the risk assessment/care plan.</w:t>
      </w:r>
    </w:p>
    <w:p w14:paraId="752D4D2B" w14:textId="2936E159" w:rsidR="00234E92" w:rsidRDefault="00234E92" w:rsidP="00712660">
      <w:pPr>
        <w:pStyle w:val="Style2"/>
        <w:ind w:left="1138"/>
        <w:contextualSpacing w:val="0"/>
        <w:jc w:val="both"/>
      </w:pPr>
      <w:r w:rsidRPr="002D4819">
        <w:t>The member of staff allocated to carry out supportive observations should spend time building a therapeutic relationship with the service user. Observations should be supportive and therapeutic in nature and call for empathy, engagement, taking notes of the service user’s needs, and a readiness to act and recognise the need for escalation/de-escalation as necessary.</w:t>
      </w:r>
    </w:p>
    <w:p w14:paraId="3858FED1" w14:textId="396FD019" w:rsidR="00234E92" w:rsidRDefault="00234E92" w:rsidP="00712660">
      <w:pPr>
        <w:pStyle w:val="Style2"/>
        <w:ind w:left="1138"/>
        <w:contextualSpacing w:val="0"/>
        <w:jc w:val="both"/>
      </w:pPr>
      <w:r w:rsidRPr="002D4819">
        <w:t>The nurse/care manager in charge should ensure the whereabouts and well-being of staff carrying out level 3 and 4 (continual or close supportive observation) is known to him or her during each shift. Individual members of staff should take personal responsibility for informing the Nurse/Manager in charge of any change in their whereabouts, assistive technology may be required</w:t>
      </w:r>
    </w:p>
    <w:p w14:paraId="1BEC1AEF" w14:textId="118F34D6" w:rsidR="00234E92" w:rsidRDefault="00234E92" w:rsidP="00712660">
      <w:pPr>
        <w:pStyle w:val="Style2"/>
        <w:ind w:left="1138"/>
        <w:contextualSpacing w:val="0"/>
        <w:jc w:val="both"/>
      </w:pPr>
      <w:r w:rsidRPr="002D4819">
        <w:t>Supportive observation must be maintained during visits from, relatives, carers and friends. Different levels of observations can be implemented during visits if thorough risk assessments and discussions have occurred and are documented in the service user’s notes. This documentation must include when the levels of supportive observation is increased, reduced, time periods and rational</w:t>
      </w:r>
      <w:r w:rsidR="00C84261">
        <w:t>e</w:t>
      </w:r>
      <w:r w:rsidRPr="002D4819">
        <w:t>.</w:t>
      </w:r>
    </w:p>
    <w:p w14:paraId="50BA7B74" w14:textId="3DEAC2D8" w:rsidR="00234E92" w:rsidRPr="002D4819" w:rsidRDefault="00234E92" w:rsidP="00712660">
      <w:pPr>
        <w:pStyle w:val="Style2"/>
        <w:ind w:left="1138"/>
        <w:contextualSpacing w:val="0"/>
        <w:jc w:val="both"/>
      </w:pPr>
      <w:r w:rsidRPr="002D4819">
        <w:t>Staff must, as far as possible, ensure the privacy, dignity, cultural, religious belief and gender specific needs of the service user are maintained during supportive observation. However, at times when the level of risk supersedes these issues, this must be clearly explained to the service user and documented.</w:t>
      </w:r>
    </w:p>
    <w:p w14:paraId="48FDD044" w14:textId="7241AEC9" w:rsidR="00234E92" w:rsidRDefault="00234E92" w:rsidP="00712660">
      <w:pPr>
        <w:pStyle w:val="Style2"/>
        <w:ind w:left="1138"/>
        <w:contextualSpacing w:val="0"/>
        <w:jc w:val="both"/>
      </w:pPr>
      <w:r w:rsidRPr="002D4819">
        <w:t xml:space="preserve">All </w:t>
      </w:r>
      <w:r w:rsidR="00185326">
        <w:t>AACC</w:t>
      </w:r>
      <w:r w:rsidRPr="002D4819">
        <w:t xml:space="preserve"> providers must have </w:t>
      </w:r>
      <w:r w:rsidR="0045684C">
        <w:t xml:space="preserve">policy that </w:t>
      </w:r>
      <w:r w:rsidR="0045684C" w:rsidRPr="002D4819">
        <w:t>reinforces positive behaviour and least restrictive approach</w:t>
      </w:r>
      <w:r w:rsidR="0045684C">
        <w:t xml:space="preserve"> in the management of violence and aggression </w:t>
      </w:r>
      <w:r w:rsidRPr="002D4819">
        <w:t xml:space="preserve">and this must be adhered to at all times where there is a clear threat to harm self or others. </w:t>
      </w:r>
    </w:p>
    <w:p w14:paraId="4C2B9765" w14:textId="5CDB3873" w:rsidR="00234E92" w:rsidRPr="002D4819" w:rsidRDefault="00C84261" w:rsidP="00712660">
      <w:pPr>
        <w:pStyle w:val="Style2"/>
        <w:ind w:left="1138"/>
        <w:contextualSpacing w:val="0"/>
        <w:jc w:val="both"/>
      </w:pPr>
      <w:r>
        <w:t xml:space="preserve">Implementation of Level 3 or 4 supportive observations for an adult over 18 years will require consideration of DoLS (Section </w:t>
      </w:r>
      <w:r w:rsidR="00FC1B55">
        <w:t>6.10</w:t>
      </w:r>
      <w:r>
        <w:t xml:space="preserve">).  </w:t>
      </w:r>
    </w:p>
    <w:p w14:paraId="61049ADE" w14:textId="61116F1D" w:rsidR="00C84261" w:rsidRDefault="00C84261" w:rsidP="00712660">
      <w:pPr>
        <w:pStyle w:val="Style2"/>
        <w:ind w:left="1138"/>
        <w:contextualSpacing w:val="0"/>
        <w:jc w:val="both"/>
      </w:pPr>
      <w:r w:rsidRPr="002D4819">
        <w:t>Details of the individuals responsible for agreement to change level of supportive observation will be agreed and included in the supportive observation care plan, including out of hours process.</w:t>
      </w:r>
    </w:p>
    <w:p w14:paraId="6E25D2C7" w14:textId="74E0957B" w:rsidR="00234E92" w:rsidRPr="002D4819" w:rsidRDefault="00C84261" w:rsidP="00712660">
      <w:pPr>
        <w:pStyle w:val="Style2"/>
        <w:ind w:left="1138"/>
        <w:contextualSpacing w:val="0"/>
        <w:jc w:val="both"/>
      </w:pPr>
      <w:r>
        <w:t>Review of t</w:t>
      </w:r>
      <w:r w:rsidR="00234E92" w:rsidRPr="002D4819">
        <w:t xml:space="preserve">he level of observations for any service user must be reviewed on an ongoing basis, at a minimum daily, and preferably at the end of each shift by the </w:t>
      </w:r>
      <w:r>
        <w:t xml:space="preserve">individual in charge. </w:t>
      </w:r>
    </w:p>
    <w:p w14:paraId="04EF129C" w14:textId="66D389BD" w:rsidR="00234E92" w:rsidRDefault="00234E92" w:rsidP="00712660">
      <w:pPr>
        <w:pStyle w:val="Style2"/>
        <w:ind w:left="1138"/>
        <w:contextualSpacing w:val="0"/>
        <w:jc w:val="both"/>
      </w:pPr>
      <w:r w:rsidRPr="002D4819">
        <w:t xml:space="preserve">The </w:t>
      </w:r>
      <w:r w:rsidR="00C84261">
        <w:t>ICB</w:t>
      </w:r>
      <w:r w:rsidRPr="002D4819">
        <w:t xml:space="preserve"> will provide authorisation for supportive observation only where there is a </w:t>
      </w:r>
      <w:r w:rsidR="00642116" w:rsidRPr="002D4819">
        <w:t>clearly</w:t>
      </w:r>
      <w:r w:rsidRPr="002D4819">
        <w:t xml:space="preserve"> documented clinical rationale supported by appropriate risk assessments. Assessments and requests should be individual, time and environment specific. Contracts will be issued, specific to the assessed level of supportive observation requirement and separate to the core service contract cost.</w:t>
      </w:r>
    </w:p>
    <w:p w14:paraId="21EDF4EA" w14:textId="5C5813D1" w:rsidR="00234E92" w:rsidRDefault="00234E92" w:rsidP="00712660">
      <w:pPr>
        <w:pStyle w:val="Style2"/>
        <w:ind w:left="1138"/>
        <w:contextualSpacing w:val="0"/>
        <w:jc w:val="both"/>
      </w:pPr>
      <w:r w:rsidRPr="002D4819">
        <w:t xml:space="preserve">The </w:t>
      </w:r>
      <w:r w:rsidR="00C211E8">
        <w:t>ICB</w:t>
      </w:r>
      <w:r w:rsidRPr="002D4819">
        <w:t xml:space="preserve"> will provide funding to cover the additional </w:t>
      </w:r>
      <w:r w:rsidR="00EF3ABB">
        <w:t xml:space="preserve">observation and support </w:t>
      </w:r>
      <w:r w:rsidRPr="002D4819">
        <w:t>hours identified within the risk assessment up to a maximum of 20 hours per day</w:t>
      </w:r>
      <w:r w:rsidR="00EF3ABB">
        <w:t xml:space="preserve"> in nursing and residential care settings</w:t>
      </w:r>
      <w:r w:rsidRPr="002D4819">
        <w:t xml:space="preserve">. The </w:t>
      </w:r>
      <w:r w:rsidR="00C211E8">
        <w:t xml:space="preserve">expectation is that each service user has </w:t>
      </w:r>
      <w:r w:rsidRPr="002D4819">
        <w:t xml:space="preserve">4 hours </w:t>
      </w:r>
      <w:r w:rsidR="00C211E8">
        <w:t xml:space="preserve">of direct </w:t>
      </w:r>
      <w:r w:rsidR="00EF3ABB">
        <w:t xml:space="preserve">(one to one) </w:t>
      </w:r>
      <w:r w:rsidRPr="002D4819">
        <w:t>care already provided and commissioned within the contract for core services.</w:t>
      </w:r>
    </w:p>
    <w:p w14:paraId="02897256" w14:textId="39FD11F1" w:rsidR="00234E92" w:rsidRDefault="00234E92" w:rsidP="00712660">
      <w:pPr>
        <w:pStyle w:val="Style2"/>
        <w:ind w:left="1138"/>
        <w:contextualSpacing w:val="0"/>
        <w:jc w:val="both"/>
      </w:pPr>
      <w:r w:rsidRPr="002D4819">
        <w:t xml:space="preserve">The </w:t>
      </w:r>
      <w:r w:rsidR="00C211E8">
        <w:t>ICB</w:t>
      </w:r>
      <w:r w:rsidRPr="002D4819">
        <w:t xml:space="preserve"> will not provide payment for any care for which there is no agreed, evidenced clinical rationale and/or where the provider has no written authorisation/contract specifically relating to the supportive observations.</w:t>
      </w:r>
    </w:p>
    <w:p w14:paraId="43EF0E7A" w14:textId="3CA61C4C" w:rsidR="00234E92" w:rsidRDefault="00234E92" w:rsidP="00712660">
      <w:pPr>
        <w:pStyle w:val="Style2"/>
        <w:ind w:left="1138"/>
        <w:contextualSpacing w:val="0"/>
        <w:jc w:val="both"/>
      </w:pPr>
      <w:r w:rsidRPr="002D4819">
        <w:t xml:space="preserve">To facilitate payment of invoices, copies of supportive observation charts, care plans and any other additional validation information must be provided to the </w:t>
      </w:r>
      <w:r w:rsidR="00C211E8">
        <w:t xml:space="preserve">AACC service </w:t>
      </w:r>
      <w:r w:rsidRPr="002D4819">
        <w:t>on request</w:t>
      </w:r>
      <w:r w:rsidR="00C211E8">
        <w:t>,</w:t>
      </w:r>
      <w:r w:rsidRPr="002D4819">
        <w:t xml:space="preserve"> including staff timesheets and daily staff rotas.</w:t>
      </w:r>
    </w:p>
    <w:p w14:paraId="59A757E0" w14:textId="4B986FF7" w:rsidR="00234E92" w:rsidRDefault="00234E92" w:rsidP="00712660">
      <w:pPr>
        <w:pStyle w:val="Style2"/>
        <w:ind w:left="1138"/>
        <w:contextualSpacing w:val="0"/>
        <w:jc w:val="both"/>
      </w:pPr>
      <w:r w:rsidRPr="002D4819">
        <w:t>Requests from family members/representatives to initiate or continue supportive observation where there is no clinical rationale will not be authorised and invoices will not be paid. Families, however, are at liberty to make private contractual arrangement</w:t>
      </w:r>
      <w:r w:rsidR="00185326">
        <w:t>s</w:t>
      </w:r>
      <w:r w:rsidRPr="002D4819">
        <w:t xml:space="preserve"> with the care provider for interventions and care outside of the assessed clinical need as indicated within the service users care plan. It must not, however, include </w:t>
      </w:r>
      <w:r w:rsidR="00C211E8">
        <w:t xml:space="preserve">or overlap </w:t>
      </w:r>
      <w:r w:rsidRPr="002D4819">
        <w:t xml:space="preserve">any core services/costs funded under contract by the </w:t>
      </w:r>
      <w:r w:rsidR="00C211E8">
        <w:t>ICB</w:t>
      </w:r>
      <w:r w:rsidRPr="002D4819">
        <w:t>.</w:t>
      </w:r>
    </w:p>
    <w:p w14:paraId="0F56232C" w14:textId="77777777" w:rsidR="004E63C2" w:rsidRPr="002D4819" w:rsidRDefault="004E63C2" w:rsidP="0043455F">
      <w:pPr>
        <w:tabs>
          <w:tab w:val="left" w:pos="1134"/>
        </w:tabs>
        <w:spacing w:after="120"/>
        <w:ind w:hanging="1134"/>
        <w:jc w:val="both"/>
      </w:pPr>
    </w:p>
    <w:p w14:paraId="462E56CE" w14:textId="23E6981F" w:rsidR="008F04F0" w:rsidRPr="0015255F" w:rsidRDefault="007F6641" w:rsidP="00712660">
      <w:pPr>
        <w:pStyle w:val="Heading3"/>
      </w:pPr>
      <w:bookmarkStart w:id="71" w:name="_Toc110851950"/>
      <w:r>
        <w:t>Review and Case Management</w:t>
      </w:r>
      <w:bookmarkEnd w:id="71"/>
    </w:p>
    <w:p w14:paraId="08D5DBC1" w14:textId="48420FF2" w:rsidR="00504C60" w:rsidRDefault="00504C60" w:rsidP="00712660">
      <w:pPr>
        <w:pStyle w:val="Style2"/>
        <w:ind w:left="1138"/>
        <w:contextualSpacing w:val="0"/>
        <w:jc w:val="both"/>
      </w:pPr>
      <w:r>
        <w:t xml:space="preserve">A named Case Manager </w:t>
      </w:r>
      <w:r w:rsidR="00255270">
        <w:t xml:space="preserve">will be </w:t>
      </w:r>
      <w:r>
        <w:t xml:space="preserve">assigned to each </w:t>
      </w:r>
      <w:r w:rsidR="00325B1B">
        <w:t xml:space="preserve">AACC eligible </w:t>
      </w:r>
      <w:r>
        <w:t xml:space="preserve">case and their contact details shared with the </w:t>
      </w:r>
      <w:r w:rsidR="002148CE">
        <w:t>individual</w:t>
      </w:r>
      <w:r>
        <w:t xml:space="preserve"> / representative. </w:t>
      </w:r>
      <w:r w:rsidR="00255270">
        <w:t xml:space="preserve">Case manager details will be recorded on the </w:t>
      </w:r>
      <w:r w:rsidR="002148CE">
        <w:t>individual</w:t>
      </w:r>
      <w:r w:rsidR="00255270">
        <w:t xml:space="preserve"> record on the case management system. </w:t>
      </w:r>
      <w:r w:rsidR="00EF3ABB">
        <w:t xml:space="preserve">The best means by which to </w:t>
      </w:r>
      <w:r w:rsidR="00642116">
        <w:t>contact</w:t>
      </w:r>
      <w:r w:rsidR="00EF3ABB">
        <w:t xml:space="preserve"> case managers will be agreed with the </w:t>
      </w:r>
      <w:r w:rsidR="002148CE">
        <w:t>individual</w:t>
      </w:r>
      <w:r w:rsidR="00EF3ABB">
        <w:t>/family; however, in order to triage and appropriately respond to case management needs, i</w:t>
      </w:r>
      <w:r>
        <w:t xml:space="preserve">ndividuals </w:t>
      </w:r>
      <w:r w:rsidR="00EF3ABB">
        <w:t xml:space="preserve">who are able to </w:t>
      </w:r>
      <w:r>
        <w:t xml:space="preserve">will be asked to communicate with their assigned case manager predominantly by email unless there is an immediate safety risk. </w:t>
      </w:r>
      <w:r w:rsidR="00255270">
        <w:t>Individuals will be advised that t</w:t>
      </w:r>
      <w:r>
        <w:t xml:space="preserve">he generic </w:t>
      </w:r>
      <w:r w:rsidR="00255270">
        <w:t xml:space="preserve">AACC team </w:t>
      </w:r>
      <w:r>
        <w:t xml:space="preserve">inbox </w:t>
      </w:r>
      <w:r w:rsidR="00255270">
        <w:t>address should be cc’d to all incoming communications</w:t>
      </w:r>
      <w:r>
        <w:t xml:space="preserve">, to </w:t>
      </w:r>
      <w:r w:rsidR="00255270">
        <w:t xml:space="preserve">ensure timely redirection and response to case management issues that may arise in the absence of the named case manager. </w:t>
      </w:r>
      <w:r>
        <w:t xml:space="preserve">   </w:t>
      </w:r>
    </w:p>
    <w:p w14:paraId="2E1A47A9" w14:textId="296A8823" w:rsidR="00255270" w:rsidRDefault="00255270" w:rsidP="00712660">
      <w:pPr>
        <w:pStyle w:val="Style2"/>
        <w:ind w:left="1138"/>
        <w:contextualSpacing w:val="0"/>
        <w:jc w:val="both"/>
      </w:pPr>
      <w:r>
        <w:t xml:space="preserve">The </w:t>
      </w:r>
      <w:r w:rsidR="00EF3ABB">
        <w:t>service lead</w:t>
      </w:r>
      <w:r>
        <w:t xml:space="preserve"> is responsible for allocating and rotating case management responsibilities</w:t>
      </w:r>
      <w:r w:rsidR="00EF3ABB">
        <w:t xml:space="preserve"> where required</w:t>
      </w:r>
      <w:r>
        <w:t xml:space="preserve">, ensuring that </w:t>
      </w:r>
      <w:r w:rsidR="002148CE">
        <w:t>individual</w:t>
      </w:r>
      <w:r>
        <w:t xml:space="preserve">s / representatives are kept informed of changes.  </w:t>
      </w:r>
    </w:p>
    <w:p w14:paraId="7BB92450" w14:textId="76F57CA8" w:rsidR="003C0700" w:rsidRDefault="00504C60" w:rsidP="00712660">
      <w:pPr>
        <w:pStyle w:val="Style2"/>
        <w:ind w:left="1138"/>
        <w:contextualSpacing w:val="0"/>
        <w:jc w:val="both"/>
      </w:pPr>
      <w:r>
        <w:t>R</w:t>
      </w:r>
      <w:r w:rsidR="00F21FC2">
        <w:t>eviews are undertaken at 3 months following a new decision on eligibility and at 12 monthly intervals thereafter, with facility for additional reviews to take place at any stage where it is evident to that a review is required</w:t>
      </w:r>
      <w:r w:rsidR="003C0700">
        <w:t xml:space="preserve">, or on request from </w:t>
      </w:r>
      <w:r w:rsidR="002148CE">
        <w:t>individual</w:t>
      </w:r>
      <w:r w:rsidR="003C0700">
        <w:t xml:space="preserve">s and families. </w:t>
      </w:r>
    </w:p>
    <w:p w14:paraId="5CC93D3A" w14:textId="42BC1FFC" w:rsidR="0034586A" w:rsidRDefault="0034586A" w:rsidP="00712660">
      <w:pPr>
        <w:pStyle w:val="Style2"/>
        <w:ind w:left="1138"/>
        <w:contextualSpacing w:val="0"/>
        <w:jc w:val="both"/>
      </w:pPr>
      <w:r>
        <w:t xml:space="preserve">Where an individual is funded under ‘Fast track’ arrangements, the review may identify that they are no longer rapidly deteriorating. In cases where the </w:t>
      </w:r>
      <w:r w:rsidR="002148CE">
        <w:t>individual</w:t>
      </w:r>
      <w:r>
        <w:t xml:space="preserve"> is improving, it is appropriate to recommend a full eligibility assessment to take place. However, if there is reasonable clinical judgement that the </w:t>
      </w:r>
      <w:r w:rsidR="002148CE">
        <w:t>individual</w:t>
      </w:r>
      <w:r>
        <w:t xml:space="preserve"> may again rapidly deteriorate in the near future, the assessor is able to recommend extension of the FT funding for a further 12 weeks, when a further review will take place.  </w:t>
      </w:r>
    </w:p>
    <w:p w14:paraId="06F8C935" w14:textId="4623D034" w:rsidR="00F21FC2" w:rsidRDefault="007F6641" w:rsidP="00712660">
      <w:pPr>
        <w:pStyle w:val="Style2"/>
        <w:ind w:left="1138"/>
        <w:contextualSpacing w:val="0"/>
        <w:jc w:val="both"/>
      </w:pPr>
      <w:r>
        <w:t xml:space="preserve">Proactive case management of </w:t>
      </w:r>
      <w:r w:rsidR="00185326">
        <w:t>AACC</w:t>
      </w:r>
      <w:r>
        <w:t xml:space="preserve"> eligible </w:t>
      </w:r>
      <w:r w:rsidR="002148CE">
        <w:t>individual</w:t>
      </w:r>
      <w:r>
        <w:t>s</w:t>
      </w:r>
      <w:r w:rsidR="00F21FC2">
        <w:t xml:space="preserve"> will enable review to be undertaken efficiently via regular review</w:t>
      </w:r>
      <w:r w:rsidR="00504C60">
        <w:t>s</w:t>
      </w:r>
      <w:r w:rsidR="00F21FC2">
        <w:t xml:space="preserve"> of </w:t>
      </w:r>
      <w:r w:rsidR="00863451">
        <w:t>care provision</w:t>
      </w:r>
      <w:r w:rsidR="00504C60">
        <w:t xml:space="preserve"> in </w:t>
      </w:r>
      <w:r w:rsidR="00863451">
        <w:t xml:space="preserve">meeting assessed needs and safety of the </w:t>
      </w:r>
      <w:r w:rsidR="00F21FC2">
        <w:t xml:space="preserve">commissioned care plans, in accordance with the National </w:t>
      </w:r>
      <w:r w:rsidR="00325B1B">
        <w:t>F</w:t>
      </w:r>
      <w:r w:rsidR="00F21FC2">
        <w:t>rameworks.</w:t>
      </w:r>
    </w:p>
    <w:p w14:paraId="0E46BE20" w14:textId="66F72392" w:rsidR="00863451" w:rsidRDefault="00863451" w:rsidP="00712660">
      <w:pPr>
        <w:pStyle w:val="Style2"/>
        <w:ind w:left="1138"/>
        <w:contextualSpacing w:val="0"/>
        <w:jc w:val="both"/>
      </w:pPr>
      <w:r>
        <w:t>Reviews are prioritised</w:t>
      </w:r>
      <w:r w:rsidR="00255270">
        <w:t xml:space="preserve"> using risk stratification</w:t>
      </w:r>
      <w:r>
        <w:t xml:space="preserve">, with Safeguarding always taking priority. Ongoing case management will enable continual review of risk factors and re-prioritisation according to triage. </w:t>
      </w:r>
    </w:p>
    <w:p w14:paraId="5956EDFE" w14:textId="321C7939" w:rsidR="008A0F58" w:rsidRDefault="008A0F58" w:rsidP="00712660">
      <w:pPr>
        <w:pStyle w:val="Style2"/>
        <w:ind w:left="1138"/>
        <w:contextualSpacing w:val="0"/>
        <w:jc w:val="both"/>
      </w:pPr>
      <w:r>
        <w:t>A</w:t>
      </w:r>
      <w:r w:rsidR="00435EC8">
        <w:t>ACC</w:t>
      </w:r>
      <w:r>
        <w:t xml:space="preserve"> </w:t>
      </w:r>
      <w:r w:rsidR="002148CE">
        <w:t>individual</w:t>
      </w:r>
      <w:r>
        <w:t xml:space="preserve"> files, previous DSTs, supporting evidence, current contract and provision cost is available within the </w:t>
      </w:r>
      <w:r w:rsidR="00D9794C">
        <w:t>ICB</w:t>
      </w:r>
      <w:r>
        <w:t>s case management system. This information is accessible by all relevant practitioners and is proactively used within reviews and referred to if reassessment is required.</w:t>
      </w:r>
    </w:p>
    <w:p w14:paraId="1E855BC2" w14:textId="096349BD" w:rsidR="00BB7A94" w:rsidRDefault="00F21FC2" w:rsidP="00712660">
      <w:pPr>
        <w:pStyle w:val="Style2"/>
        <w:ind w:left="1138"/>
        <w:contextualSpacing w:val="0"/>
        <w:jc w:val="both"/>
      </w:pPr>
      <w:r>
        <w:t>Re</w:t>
      </w:r>
      <w:r w:rsidR="00BB7A94">
        <w:t xml:space="preserve">-assessment of eligibility </w:t>
      </w:r>
      <w:r>
        <w:t xml:space="preserve">following review is triggered by material changes in care needs </w:t>
      </w:r>
      <w:r w:rsidR="00255270">
        <w:t>being identified</w:t>
      </w:r>
      <w:r w:rsidR="00255270" w:rsidRPr="00255270">
        <w:t xml:space="preserve"> </w:t>
      </w:r>
      <w:r w:rsidR="00255270">
        <w:t xml:space="preserve">against the established care plan, </w:t>
      </w:r>
      <w:r>
        <w:t>indica</w:t>
      </w:r>
      <w:r w:rsidR="00A10661">
        <w:t>ting that a full assessment is required</w:t>
      </w:r>
      <w:r>
        <w:t xml:space="preserve">. Non-material changes, which may require adjustment of the </w:t>
      </w:r>
      <w:r w:rsidR="00863451">
        <w:t xml:space="preserve">commissioned </w:t>
      </w:r>
      <w:r>
        <w:t>care plan</w:t>
      </w:r>
      <w:r w:rsidR="00863451">
        <w:t>,</w:t>
      </w:r>
      <w:r>
        <w:t xml:space="preserve"> but not a return to full eligibility assessment, are </w:t>
      </w:r>
      <w:r w:rsidR="00863451">
        <w:t xml:space="preserve">facilitated through case management. </w:t>
      </w:r>
    </w:p>
    <w:p w14:paraId="1250FD69" w14:textId="41109CD2" w:rsidR="00F21FC2" w:rsidRDefault="007F6641" w:rsidP="00712660">
      <w:pPr>
        <w:pStyle w:val="Style2"/>
        <w:ind w:left="1138"/>
        <w:contextualSpacing w:val="0"/>
        <w:jc w:val="both"/>
      </w:pPr>
      <w:r>
        <w:t>Care provision is adjusted in line with the outcome of the care review</w:t>
      </w:r>
      <w:r w:rsidR="00863451">
        <w:t xml:space="preserve">, with due consideration given to whether the change may impact on the equity, safety and sustainability of the package of care. </w:t>
      </w:r>
      <w:r>
        <w:t xml:space="preserve"> </w:t>
      </w:r>
    </w:p>
    <w:p w14:paraId="44690C7F" w14:textId="355CF0DE" w:rsidR="00BB7A94" w:rsidRDefault="00BB7A94" w:rsidP="00712660">
      <w:pPr>
        <w:pStyle w:val="Style2"/>
        <w:ind w:left="1138"/>
        <w:contextualSpacing w:val="0"/>
        <w:jc w:val="both"/>
      </w:pPr>
      <w:r>
        <w:t xml:space="preserve">Reassessment of eligibility without a change in need should not be a routine practice. However, it may be </w:t>
      </w:r>
      <w:r w:rsidR="007F6641">
        <w:t xml:space="preserve">agreed </w:t>
      </w:r>
      <w:r>
        <w:t xml:space="preserve">by exception </w:t>
      </w:r>
      <w:r w:rsidR="007F6641">
        <w:t>between health and social care partners that there are concerns about the current eligibility status</w:t>
      </w:r>
      <w:r>
        <w:t xml:space="preserve"> and a full assessment may be required to confirm eligibility status. Clear and agreed processes are in place to jointly undertake reassessment of eligibility.</w:t>
      </w:r>
    </w:p>
    <w:p w14:paraId="0C9660F6" w14:textId="2F61713D" w:rsidR="00BB7A94" w:rsidRDefault="00BB7A94" w:rsidP="00712660">
      <w:pPr>
        <w:pStyle w:val="Style2"/>
        <w:ind w:left="1138"/>
        <w:contextualSpacing w:val="0"/>
        <w:jc w:val="both"/>
      </w:pPr>
      <w:r>
        <w:t>The i</w:t>
      </w:r>
      <w:r w:rsidR="007F6641">
        <w:t xml:space="preserve">ndividual and family </w:t>
      </w:r>
      <w:r>
        <w:t xml:space="preserve">will be fully </w:t>
      </w:r>
      <w:r w:rsidR="00BA0D09">
        <w:t xml:space="preserve">informed and </w:t>
      </w:r>
      <w:r>
        <w:t xml:space="preserve">engaged in </w:t>
      </w:r>
      <w:r w:rsidR="00BA0D09">
        <w:t>the process of reviews</w:t>
      </w:r>
      <w:r>
        <w:t xml:space="preserve"> of care provision and </w:t>
      </w:r>
      <w:r w:rsidR="007F6641">
        <w:t xml:space="preserve">are informed of the outcome of </w:t>
      </w:r>
      <w:r>
        <w:t xml:space="preserve">the </w:t>
      </w:r>
      <w:r w:rsidR="007F6641">
        <w:t xml:space="preserve">review and </w:t>
      </w:r>
      <w:r>
        <w:t xml:space="preserve">supported to understand reasons for and implications of any </w:t>
      </w:r>
      <w:r w:rsidR="007F6641">
        <w:t>need for reassessment.</w:t>
      </w:r>
      <w:r w:rsidR="00BA0D09">
        <w:t xml:space="preserve"> Communication must be clear and transparent. </w:t>
      </w:r>
      <w:r>
        <w:t xml:space="preserve">The AACC service aim is to have no formal complaints relating to reviews. </w:t>
      </w:r>
    </w:p>
    <w:p w14:paraId="01281DEF" w14:textId="27F9A5FC" w:rsidR="00BB7A94" w:rsidRPr="00712660" w:rsidRDefault="00BB7A94" w:rsidP="00712660">
      <w:pPr>
        <w:pStyle w:val="Style2"/>
        <w:ind w:left="1138"/>
        <w:contextualSpacing w:val="0"/>
        <w:jc w:val="both"/>
      </w:pPr>
      <w:r>
        <w:t>Review outcomes will be clearly documented, with supporting evidence, in the case management system. Clear documentation will be recorded relating to any change in need and subsequent changes to the care plan.</w:t>
      </w:r>
    </w:p>
    <w:p w14:paraId="1DB0C1F8" w14:textId="4080CB07" w:rsidR="00BA0D09" w:rsidRDefault="007F6641" w:rsidP="00712660">
      <w:pPr>
        <w:pStyle w:val="Style2"/>
        <w:ind w:left="1138"/>
        <w:contextualSpacing w:val="0"/>
        <w:jc w:val="both"/>
      </w:pPr>
      <w:r>
        <w:t xml:space="preserve">There is an agreed process in place for the transfer of responsibility between </w:t>
      </w:r>
      <w:r w:rsidR="00BB7A94">
        <w:t xml:space="preserve">the ICB and LAs, </w:t>
      </w:r>
      <w:r>
        <w:t xml:space="preserve">where </w:t>
      </w:r>
      <w:r w:rsidR="002148CE">
        <w:t>individual</w:t>
      </w:r>
      <w:r>
        <w:t xml:space="preserve">s are stepped up / down from social </w:t>
      </w:r>
      <w:r w:rsidR="00BB7A94">
        <w:t xml:space="preserve">care </w:t>
      </w:r>
      <w:r>
        <w:t xml:space="preserve">into healthcare and vice versa. </w:t>
      </w:r>
      <w:r w:rsidR="00BA0D09">
        <w:t>The process is c</w:t>
      </w:r>
      <w:r>
        <w:t xml:space="preserve">omprehensive, widely understood and accepted practice, followed appropriately and reviewed at regular intervals. </w:t>
      </w:r>
    </w:p>
    <w:p w14:paraId="11AAA12B" w14:textId="0C876029" w:rsidR="007F6641" w:rsidRDefault="00BA0D09" w:rsidP="00712660">
      <w:pPr>
        <w:pStyle w:val="Style2"/>
        <w:ind w:left="1138"/>
        <w:contextualSpacing w:val="0"/>
        <w:jc w:val="both"/>
      </w:pPr>
      <w:r>
        <w:t>AACC p</w:t>
      </w:r>
      <w:r w:rsidR="007F6641">
        <w:t xml:space="preserve">ractitioners are </w:t>
      </w:r>
      <w:r>
        <w:t xml:space="preserve">well </w:t>
      </w:r>
      <w:r w:rsidR="007F6641">
        <w:t>supported and never feel influenced by internal or external stakeholders when reviewing eligibility and care plans</w:t>
      </w:r>
      <w:r>
        <w:t xml:space="preserve">. This is particularly important when </w:t>
      </w:r>
      <w:r w:rsidR="007F6641">
        <w:t>stepping down packages of care where appropriate.</w:t>
      </w:r>
      <w:r>
        <w:t xml:space="preserve"> </w:t>
      </w:r>
    </w:p>
    <w:p w14:paraId="175B1BE0" w14:textId="1A3FD202" w:rsidR="008F04F0" w:rsidRPr="00D022B0" w:rsidRDefault="007F6641" w:rsidP="00712660">
      <w:pPr>
        <w:pStyle w:val="Heading3"/>
      </w:pPr>
      <w:bookmarkStart w:id="72" w:name="_Toc110851951"/>
      <w:r w:rsidRPr="00D022B0">
        <w:t>Requests for reviews of eligibility decisions</w:t>
      </w:r>
      <w:bookmarkEnd w:id="72"/>
    </w:p>
    <w:p w14:paraId="21570B67" w14:textId="6CCBD8E5" w:rsidR="00564D04" w:rsidRDefault="00564D04" w:rsidP="00712660">
      <w:pPr>
        <w:pStyle w:val="Style2"/>
        <w:ind w:left="1138"/>
        <w:contextualSpacing w:val="0"/>
        <w:jc w:val="both"/>
      </w:pPr>
      <w:r w:rsidRPr="00D022B0">
        <w:t xml:space="preserve">Appeals against a negative screening Checklist for </w:t>
      </w:r>
      <w:r w:rsidR="00185326">
        <w:t>the AACC service</w:t>
      </w:r>
      <w:r w:rsidRPr="00D022B0">
        <w:t xml:space="preserve"> can only be made via a formal complaint to the ICB, with regard to the process undertaken to reach the decision. If the ICB’s response to the complaint is felt to not have resolved the </w:t>
      </w:r>
      <w:r w:rsidRPr="000A1566">
        <w:t xml:space="preserve">issue, the complainant is able to approach the </w:t>
      </w:r>
      <w:r w:rsidRPr="00D022B0">
        <w:t>Parliamentary and Health Services Ombudsman (PHSO) with their complaint. Signposting to the PHSO is always included in complaint responses.</w:t>
      </w:r>
      <w:r>
        <w:t xml:space="preserve">  </w:t>
      </w:r>
    </w:p>
    <w:p w14:paraId="76882437" w14:textId="634CCCFD" w:rsidR="00185326" w:rsidRDefault="00CA1189" w:rsidP="00712660">
      <w:pPr>
        <w:pStyle w:val="Style2"/>
        <w:ind w:left="1138"/>
        <w:contextualSpacing w:val="0"/>
        <w:jc w:val="both"/>
      </w:pPr>
      <w:r>
        <w:t>A</w:t>
      </w:r>
      <w:r w:rsidR="00185326" w:rsidRPr="00D022B0">
        <w:t xml:space="preserve">ppeals against a negative screening Checklist </w:t>
      </w:r>
      <w:r w:rsidR="00185326">
        <w:t xml:space="preserve">may </w:t>
      </w:r>
      <w:r w:rsidR="00185326" w:rsidRPr="00353C19">
        <w:t xml:space="preserve">trigger contact from a </w:t>
      </w:r>
      <w:r w:rsidR="00053C2B">
        <w:t>C</w:t>
      </w:r>
      <w:r w:rsidR="000C04BC">
        <w:t>linical Manager</w:t>
      </w:r>
      <w:r w:rsidR="00185326" w:rsidRPr="00353C19">
        <w:t xml:space="preserve"> and relevant key partners, aimed at resolving concerns via </w:t>
      </w:r>
      <w:r w:rsidR="00185326">
        <w:t>informal c</w:t>
      </w:r>
      <w:r w:rsidR="00185326" w:rsidRPr="00353C19">
        <w:t xml:space="preserve">larification conversations regarding the decision-making process.  </w:t>
      </w:r>
    </w:p>
    <w:p w14:paraId="6EA5763C" w14:textId="1460F33C" w:rsidR="00185326" w:rsidRDefault="00185326" w:rsidP="00712660">
      <w:pPr>
        <w:pStyle w:val="Style2"/>
        <w:ind w:left="1138"/>
        <w:contextualSpacing w:val="0"/>
        <w:jc w:val="both"/>
      </w:pPr>
      <w:r w:rsidRPr="00712660">
        <w:t>Where a child/young person and their family have a dispute over an Education</w:t>
      </w:r>
      <w:r w:rsidR="00DA606F" w:rsidRPr="00712660">
        <w:t>,</w:t>
      </w:r>
      <w:r w:rsidRPr="00712660">
        <w:t xml:space="preserve"> Health and Care Plan, the AACC service may be required to provide appropriate representation. This should be in line with the respective SEND mediation Pathway.</w:t>
      </w:r>
    </w:p>
    <w:p w14:paraId="3A91044D" w14:textId="665FF8CC" w:rsidR="00564D04" w:rsidRDefault="00564D04" w:rsidP="00712660">
      <w:pPr>
        <w:pStyle w:val="Style2"/>
        <w:ind w:left="1138"/>
        <w:contextualSpacing w:val="0"/>
        <w:jc w:val="both"/>
      </w:pPr>
      <w:r w:rsidRPr="00564D04">
        <w:t xml:space="preserve">Requests for reviews of eligibility decisions </w:t>
      </w:r>
      <w:r>
        <w:t xml:space="preserve">from full assessment processes </w:t>
      </w:r>
      <w:r w:rsidRPr="00564D04">
        <w:t xml:space="preserve">will be invited via the outcome letter following a full assessment for </w:t>
      </w:r>
      <w:r w:rsidR="00185326">
        <w:t>AACC</w:t>
      </w:r>
      <w:r w:rsidRPr="00564D04">
        <w:t xml:space="preserve"> funding eligibility. </w:t>
      </w:r>
      <w:r w:rsidR="002148CE">
        <w:t>Individual</w:t>
      </w:r>
      <w:r w:rsidRPr="00564D04">
        <w:t>s / families are given 6 months from the date of the outcome letter to notify the AACC service of their intention to appeal the decision.</w:t>
      </w:r>
    </w:p>
    <w:p w14:paraId="4A80B244" w14:textId="0AD88633" w:rsidR="00672B45" w:rsidRDefault="00672B45" w:rsidP="00712660">
      <w:pPr>
        <w:pStyle w:val="Style2"/>
        <w:ind w:left="1138"/>
        <w:contextualSpacing w:val="0"/>
        <w:jc w:val="both"/>
      </w:pPr>
      <w:r>
        <w:t xml:space="preserve">Reasons to appeal may include: </w:t>
      </w:r>
    </w:p>
    <w:p w14:paraId="77975C27" w14:textId="77777777" w:rsidR="00672B45" w:rsidRDefault="00672B45" w:rsidP="003667B7">
      <w:pPr>
        <w:pStyle w:val="ListParagraph"/>
        <w:numPr>
          <w:ilvl w:val="0"/>
          <w:numId w:val="21"/>
        </w:numPr>
        <w:ind w:left="1418" w:hanging="284"/>
        <w:jc w:val="both"/>
      </w:pPr>
      <w:r>
        <w:t xml:space="preserve">The appellant does not agree that the correct recommendation on CHC funding eligibility was made following the Decision Support Tool meeting. </w:t>
      </w:r>
    </w:p>
    <w:p w14:paraId="34F93A2A" w14:textId="1DD57027" w:rsidR="00672B45" w:rsidRDefault="00672B45" w:rsidP="003667B7">
      <w:pPr>
        <w:pStyle w:val="ListParagraph"/>
        <w:numPr>
          <w:ilvl w:val="0"/>
          <w:numId w:val="21"/>
        </w:numPr>
        <w:ind w:left="1418" w:hanging="284"/>
        <w:jc w:val="both"/>
      </w:pPr>
      <w:r>
        <w:t>The appellant does not consider the process followed, to be in accordance with the National Framework for NHS Continuing Healthcare and NHS-funded Nursing Care</w:t>
      </w:r>
      <w:r w:rsidR="004B436F">
        <w:t xml:space="preserve"> in place at the time of DST</w:t>
      </w:r>
      <w:r>
        <w:t xml:space="preserve">. </w:t>
      </w:r>
    </w:p>
    <w:p w14:paraId="1A35ACBB" w14:textId="77777777" w:rsidR="00672B45" w:rsidRDefault="00672B45" w:rsidP="003667B7">
      <w:pPr>
        <w:pStyle w:val="ListParagraph"/>
        <w:numPr>
          <w:ilvl w:val="0"/>
          <w:numId w:val="21"/>
        </w:numPr>
        <w:ind w:left="1418" w:hanging="284"/>
        <w:jc w:val="both"/>
      </w:pPr>
      <w:r>
        <w:t xml:space="preserve">The appellant suspects that crucial evidence/information was incorrect, missing or not considered at the time of the Decision Support Tool meeting. </w:t>
      </w:r>
    </w:p>
    <w:p w14:paraId="7EE51E63" w14:textId="40E4A1AB" w:rsidR="00672B45" w:rsidRPr="00564D04" w:rsidRDefault="00672B45" w:rsidP="003667B7">
      <w:pPr>
        <w:pStyle w:val="ListParagraph"/>
        <w:numPr>
          <w:ilvl w:val="0"/>
          <w:numId w:val="21"/>
        </w:numPr>
        <w:ind w:left="1418" w:hanging="284"/>
        <w:jc w:val="both"/>
      </w:pPr>
      <w:r>
        <w:t>The appellant does not agree with the verification process followed and feel the original eligibility decision was overturned without discussion with the MDT.</w:t>
      </w:r>
    </w:p>
    <w:p w14:paraId="5EFA14E3" w14:textId="2FA10F12" w:rsidR="00564D04" w:rsidRDefault="00564D04" w:rsidP="00712660">
      <w:pPr>
        <w:pStyle w:val="Style2"/>
        <w:ind w:left="1138"/>
        <w:contextualSpacing w:val="0"/>
        <w:jc w:val="both"/>
      </w:pPr>
      <w:r w:rsidRPr="00564D04">
        <w:t>The AACC service will acknowledge the request for a review of the decision</w:t>
      </w:r>
      <w:r>
        <w:t xml:space="preserve"> regarding a full eligibility assessment decision, within </w:t>
      </w:r>
      <w:r w:rsidR="00CA1189">
        <w:t>5</w:t>
      </w:r>
      <w:r>
        <w:t xml:space="preserve"> working days, providing clear and timely communication and explanation of the process to the individual requesting the review.  </w:t>
      </w:r>
    </w:p>
    <w:p w14:paraId="17A8D2DF" w14:textId="50CBF663" w:rsidR="00082AB2" w:rsidRDefault="006765FA" w:rsidP="00712660">
      <w:pPr>
        <w:pStyle w:val="Style2"/>
        <w:ind w:left="1138"/>
        <w:contextualSpacing w:val="0"/>
        <w:jc w:val="both"/>
      </w:pPr>
      <w:r>
        <w:t xml:space="preserve">The AACC service aims to undertake all requested </w:t>
      </w:r>
      <w:r w:rsidR="00642F54">
        <w:t>review</w:t>
      </w:r>
      <w:r>
        <w:t>s of eligibility</w:t>
      </w:r>
      <w:r w:rsidR="00642F54">
        <w:t xml:space="preserve"> decision</w:t>
      </w:r>
      <w:r>
        <w:t>s</w:t>
      </w:r>
      <w:r w:rsidR="00642F54">
        <w:t xml:space="preserve"> within a maximum of </w:t>
      </w:r>
      <w:r w:rsidR="007F6641">
        <w:t>3 months</w:t>
      </w:r>
      <w:r>
        <w:t xml:space="preserve"> from the date of receipt of the request.</w:t>
      </w:r>
      <w:r w:rsidR="00400E66">
        <w:t xml:space="preserve"> The ICB will prioritise those individuals currently in receipt of care.  </w:t>
      </w:r>
      <w:r>
        <w:t xml:space="preserve"> </w:t>
      </w:r>
    </w:p>
    <w:p w14:paraId="7573DD54" w14:textId="3BB80D6E" w:rsidR="00082AB2" w:rsidRDefault="00082AB2" w:rsidP="00712660">
      <w:pPr>
        <w:pStyle w:val="Style2"/>
        <w:ind w:left="1138"/>
        <w:contextualSpacing w:val="0"/>
        <w:jc w:val="both"/>
      </w:pPr>
      <w:r>
        <w:t xml:space="preserve">A key principle of local resolution is that the ICB does not change its decision and that the individual / representative has had a clear explanation of the rationale for the ICB’s decision. It is the expectation that the vast majority of requests for review of eligibility decisions are resolved locally and not taken forward to IRP or the PHSO. </w:t>
      </w:r>
    </w:p>
    <w:p w14:paraId="49A9AD2E" w14:textId="1EE80A28" w:rsidR="007D29C0" w:rsidRDefault="007D29C0" w:rsidP="00712660">
      <w:pPr>
        <w:pStyle w:val="Style2"/>
        <w:ind w:left="1138"/>
        <w:contextualSpacing w:val="0"/>
        <w:jc w:val="both"/>
      </w:pPr>
      <w:r>
        <w:t xml:space="preserve">The purpose of the Local Resolution Meeting is: </w:t>
      </w:r>
    </w:p>
    <w:p w14:paraId="568A1A4D" w14:textId="77777777" w:rsidR="007D29C0" w:rsidRDefault="007D29C0" w:rsidP="003667B7">
      <w:pPr>
        <w:pStyle w:val="ListParagraph"/>
        <w:numPr>
          <w:ilvl w:val="0"/>
          <w:numId w:val="22"/>
        </w:numPr>
        <w:ind w:left="1418" w:hanging="284"/>
        <w:jc w:val="both"/>
      </w:pPr>
      <w:r>
        <w:t xml:space="preserve">To discuss the appeal and the content of the decision support tool. </w:t>
      </w:r>
    </w:p>
    <w:p w14:paraId="5FE45806" w14:textId="77777777" w:rsidR="007D29C0" w:rsidRDefault="007D29C0" w:rsidP="003667B7">
      <w:pPr>
        <w:pStyle w:val="ListParagraph"/>
        <w:numPr>
          <w:ilvl w:val="0"/>
          <w:numId w:val="22"/>
        </w:numPr>
        <w:ind w:left="1418" w:hanging="284"/>
        <w:jc w:val="both"/>
      </w:pPr>
      <w:r>
        <w:t xml:space="preserve">To discuss how the decision on CHC funding eligibility was met. </w:t>
      </w:r>
    </w:p>
    <w:p w14:paraId="1C0A5419" w14:textId="77777777" w:rsidR="007D29C0" w:rsidRDefault="007D29C0" w:rsidP="003667B7">
      <w:pPr>
        <w:pStyle w:val="ListParagraph"/>
        <w:numPr>
          <w:ilvl w:val="0"/>
          <w:numId w:val="22"/>
        </w:numPr>
        <w:ind w:left="1418" w:hanging="284"/>
        <w:jc w:val="both"/>
      </w:pPr>
      <w:r>
        <w:t xml:space="preserve">For the Chair of the LRM to provide clarification on anything not understood regarding the process. </w:t>
      </w:r>
    </w:p>
    <w:p w14:paraId="4879260F" w14:textId="77777777" w:rsidR="007D29C0" w:rsidRDefault="007D29C0" w:rsidP="003667B7">
      <w:pPr>
        <w:pStyle w:val="ListParagraph"/>
        <w:numPr>
          <w:ilvl w:val="0"/>
          <w:numId w:val="22"/>
        </w:numPr>
        <w:ind w:left="1418" w:hanging="284"/>
        <w:jc w:val="both"/>
      </w:pPr>
      <w:r>
        <w:t>For the appellant to provide additional evidence to be considered at the next stage.</w:t>
      </w:r>
    </w:p>
    <w:p w14:paraId="7F5C7516" w14:textId="46DA682A" w:rsidR="002D49C2" w:rsidRDefault="00185326" w:rsidP="00712660">
      <w:pPr>
        <w:pStyle w:val="Style2"/>
        <w:ind w:left="1138"/>
        <w:contextualSpacing w:val="0"/>
        <w:jc w:val="both"/>
      </w:pPr>
      <w:r>
        <w:t>For CHC, a</w:t>
      </w:r>
      <w:r w:rsidR="007F6641" w:rsidRPr="002D49C2">
        <w:t xml:space="preserve">ll individuals requesting a review </w:t>
      </w:r>
      <w:r w:rsidR="006765FA" w:rsidRPr="002D49C2">
        <w:t xml:space="preserve">will initially be </w:t>
      </w:r>
      <w:r w:rsidR="007F6641" w:rsidRPr="002D49C2">
        <w:t>offered a</w:t>
      </w:r>
      <w:r w:rsidR="00BB3BEC">
        <w:t xml:space="preserve">n informal </w:t>
      </w:r>
      <w:r w:rsidR="007F6641" w:rsidRPr="002D49C2">
        <w:t>local resolution meeting</w:t>
      </w:r>
      <w:r w:rsidR="006765FA" w:rsidRPr="002D49C2">
        <w:t xml:space="preserve"> (LRM)</w:t>
      </w:r>
      <w:r w:rsidR="002D49C2" w:rsidRPr="002D49C2">
        <w:t xml:space="preserve"> within 28 days of making their request. </w:t>
      </w:r>
      <w:r w:rsidR="00082AB2">
        <w:t xml:space="preserve">The invitation letter will advise of the process of the LRM. </w:t>
      </w:r>
      <w:r w:rsidR="002D49C2" w:rsidRPr="002D49C2">
        <w:t>This meeting wil</w:t>
      </w:r>
      <w:r w:rsidR="002D49C2">
        <w:t>l</w:t>
      </w:r>
      <w:r w:rsidR="002D49C2" w:rsidRPr="002D49C2">
        <w:t xml:space="preserve"> follow the guidance of the Local Resolution Best Practice Guidance: NHS Continuing Healthcare (NHSE &amp; NHS</w:t>
      </w:r>
      <w:r w:rsidR="002D49C2">
        <w:t xml:space="preserve"> Improvement, March 2021) and consider: </w:t>
      </w:r>
    </w:p>
    <w:p w14:paraId="54D1FBE6" w14:textId="7624B62A" w:rsidR="002D49C2" w:rsidRDefault="002D49C2" w:rsidP="00C349B6">
      <w:pPr>
        <w:pStyle w:val="ListParagraph"/>
        <w:numPr>
          <w:ilvl w:val="0"/>
          <w:numId w:val="13"/>
        </w:numPr>
        <w:ind w:left="1418" w:hanging="284"/>
        <w:jc w:val="both"/>
      </w:pPr>
      <w:r>
        <w:t>Levels of need in disputed care domains</w:t>
      </w:r>
    </w:p>
    <w:p w14:paraId="02CCC974" w14:textId="0BC76B59" w:rsidR="002D49C2" w:rsidRDefault="002D49C2" w:rsidP="00C349B6">
      <w:pPr>
        <w:pStyle w:val="ListParagraph"/>
        <w:numPr>
          <w:ilvl w:val="0"/>
          <w:numId w:val="13"/>
        </w:numPr>
        <w:ind w:left="1418" w:hanging="284"/>
        <w:jc w:val="both"/>
      </w:pPr>
      <w:r>
        <w:t xml:space="preserve">Application of the Primary Health Needs Test </w:t>
      </w:r>
      <w:r w:rsidR="00082AB2">
        <w:t>(CHC only)</w:t>
      </w:r>
    </w:p>
    <w:p w14:paraId="7C44392C" w14:textId="72998676" w:rsidR="002D49C2" w:rsidRDefault="002D49C2" w:rsidP="00C349B6">
      <w:pPr>
        <w:pStyle w:val="ListParagraph"/>
        <w:numPr>
          <w:ilvl w:val="0"/>
          <w:numId w:val="13"/>
        </w:numPr>
        <w:ind w:left="1418" w:hanging="284"/>
        <w:jc w:val="both"/>
      </w:pPr>
      <w:r>
        <w:t>Any concerns relating to the process</w:t>
      </w:r>
    </w:p>
    <w:p w14:paraId="5AD2E5FA" w14:textId="43DADF9C" w:rsidR="00082AB2" w:rsidRDefault="00524F47" w:rsidP="00712660">
      <w:pPr>
        <w:pStyle w:val="Style2"/>
        <w:ind w:left="1138"/>
        <w:contextualSpacing w:val="0"/>
        <w:jc w:val="both"/>
      </w:pPr>
      <w:r>
        <w:t xml:space="preserve">In some </w:t>
      </w:r>
      <w:r w:rsidR="00353C19">
        <w:t xml:space="preserve">CHC </w:t>
      </w:r>
      <w:r>
        <w:t xml:space="preserve">cases, such as those with a legal representative making the appeal, an informal LRM may not be beneficial to resolving issues and the decision of the ICB may be to offer a formal Local Appeal Panel (LAP) </w:t>
      </w:r>
      <w:r w:rsidR="00047CB7">
        <w:t>as first option</w:t>
      </w:r>
      <w:r w:rsidR="00014222">
        <w:t>.</w:t>
      </w:r>
    </w:p>
    <w:p w14:paraId="2CC53B1B" w14:textId="3EC14108" w:rsidR="00C31AB2" w:rsidRDefault="00C31AB2" w:rsidP="00712660">
      <w:pPr>
        <w:pStyle w:val="Style2"/>
        <w:ind w:left="1138"/>
        <w:contextualSpacing w:val="0"/>
        <w:jc w:val="both"/>
      </w:pPr>
      <w:r>
        <w:t>Prior to the LRM, all attendees will be provided with the original DST and an electronic file containing all evidence used to make the original eligibility decision. The evidence file will meet the requirements for an NHS England IRP</w:t>
      </w:r>
      <w:r w:rsidR="00D022B0">
        <w:t xml:space="preserve"> (CHC)</w:t>
      </w:r>
      <w:r>
        <w:t xml:space="preserve">. This will enable a swift pathway to any further review panels that may be required / desired.  </w:t>
      </w:r>
    </w:p>
    <w:p w14:paraId="0997A193" w14:textId="16E8B630" w:rsidR="005D3AB5" w:rsidRPr="00BB3BEC" w:rsidRDefault="006765FA" w:rsidP="00712660">
      <w:pPr>
        <w:pStyle w:val="Style2"/>
        <w:ind w:left="1138"/>
        <w:contextualSpacing w:val="0"/>
        <w:jc w:val="both"/>
      </w:pPr>
      <w:r w:rsidRPr="00BB3BEC">
        <w:t>Th</w:t>
      </w:r>
      <w:r w:rsidR="00BB3BEC">
        <w:t>e</w:t>
      </w:r>
      <w:r w:rsidRPr="00BB3BEC">
        <w:t xml:space="preserve"> </w:t>
      </w:r>
      <w:r w:rsidR="00BB3BEC">
        <w:t>LRM w</w:t>
      </w:r>
      <w:r w:rsidRPr="00BB3BEC">
        <w:t>ill</w:t>
      </w:r>
      <w:r w:rsidR="004F28BF" w:rsidRPr="00BB3BEC">
        <w:t xml:space="preserve"> </w:t>
      </w:r>
      <w:r w:rsidR="00AD689C" w:rsidRPr="00BB3BEC">
        <w:t xml:space="preserve">be held with a </w:t>
      </w:r>
      <w:r w:rsidR="00C57C1D" w:rsidRPr="00BB3BEC">
        <w:t xml:space="preserve">CHC </w:t>
      </w:r>
      <w:r w:rsidR="00564D04">
        <w:t xml:space="preserve">or CYPCC Clinical </w:t>
      </w:r>
      <w:r w:rsidR="00053C2B">
        <w:t>Manager</w:t>
      </w:r>
      <w:r w:rsidR="00AD689C" w:rsidRPr="00BB3BEC">
        <w:t xml:space="preserve"> </w:t>
      </w:r>
      <w:r w:rsidR="00564D04">
        <w:t xml:space="preserve">(as appropriate) </w:t>
      </w:r>
      <w:r w:rsidR="004F28BF" w:rsidRPr="00BB3BEC">
        <w:t>who was not involved in the original decision</w:t>
      </w:r>
      <w:r w:rsidR="00353C19">
        <w:t xml:space="preserve"> and an AACC administrator</w:t>
      </w:r>
      <w:r w:rsidR="004F28BF" w:rsidRPr="00BB3BEC">
        <w:t xml:space="preserve">, with the </w:t>
      </w:r>
      <w:r w:rsidRPr="00BB3BEC">
        <w:t xml:space="preserve">aim </w:t>
      </w:r>
      <w:r w:rsidR="005D3AB5" w:rsidRPr="00BB3BEC">
        <w:t xml:space="preserve">for the individual to: </w:t>
      </w:r>
    </w:p>
    <w:p w14:paraId="7431D74F" w14:textId="491C8E66" w:rsidR="005D3AB5" w:rsidRPr="00BB3BEC" w:rsidRDefault="00BB3BEC" w:rsidP="00C349B6">
      <w:pPr>
        <w:pStyle w:val="ListParagraph"/>
        <w:numPr>
          <w:ilvl w:val="0"/>
          <w:numId w:val="14"/>
        </w:numPr>
        <w:ind w:left="1560" w:hanging="425"/>
        <w:jc w:val="both"/>
      </w:pPr>
      <w:r w:rsidRPr="00BB3BEC">
        <w:t>R</w:t>
      </w:r>
      <w:r w:rsidR="005D3AB5" w:rsidRPr="00BB3BEC">
        <w:t>eceive clarification of anything that they have not understood;</w:t>
      </w:r>
    </w:p>
    <w:p w14:paraId="3A7EABA9" w14:textId="152CB2D1" w:rsidR="005D3AB5" w:rsidRPr="00BB3BEC" w:rsidRDefault="00BB3BEC" w:rsidP="00C349B6">
      <w:pPr>
        <w:pStyle w:val="ListParagraph"/>
        <w:numPr>
          <w:ilvl w:val="0"/>
          <w:numId w:val="14"/>
        </w:numPr>
        <w:ind w:left="1560" w:hanging="425"/>
        <w:jc w:val="both"/>
      </w:pPr>
      <w:r w:rsidRPr="00BB3BEC">
        <w:t>H</w:t>
      </w:r>
      <w:r w:rsidR="005D3AB5" w:rsidRPr="00BB3BEC">
        <w:t>ave an explanation of how the MDT</w:t>
      </w:r>
      <w:r w:rsidR="00082AB2">
        <w:t>/</w:t>
      </w:r>
      <w:r w:rsidR="00053C2B">
        <w:t>C</w:t>
      </w:r>
      <w:r w:rsidR="000C04BC">
        <w:t>linical Manager</w:t>
      </w:r>
      <w:r w:rsidR="005D3AB5" w:rsidRPr="00BB3BEC">
        <w:t xml:space="preserve"> arrived at the recommendation of ‘not eligible' using as a reference the </w:t>
      </w:r>
      <w:r w:rsidRPr="00BB3BEC">
        <w:t xml:space="preserve">evidence used to complete the </w:t>
      </w:r>
      <w:r w:rsidR="005D3AB5" w:rsidRPr="00BB3BEC">
        <w:t>DST and the 4-part PHN test</w:t>
      </w:r>
      <w:r w:rsidR="00564D04">
        <w:t xml:space="preserve"> (CHC only)</w:t>
      </w:r>
      <w:r w:rsidR="005D3AB5" w:rsidRPr="00BB3BEC">
        <w:t>;</w:t>
      </w:r>
      <w:r w:rsidR="00564D04">
        <w:t xml:space="preserve"> </w:t>
      </w:r>
      <w:r w:rsidR="005D3AB5" w:rsidRPr="00BB3BEC">
        <w:t xml:space="preserve"> </w:t>
      </w:r>
    </w:p>
    <w:p w14:paraId="614A5075" w14:textId="6ED4CA4C" w:rsidR="005D3AB5" w:rsidRPr="00BB3BEC" w:rsidRDefault="00BB3BEC" w:rsidP="00C349B6">
      <w:pPr>
        <w:pStyle w:val="ListParagraph"/>
        <w:numPr>
          <w:ilvl w:val="0"/>
          <w:numId w:val="14"/>
        </w:numPr>
        <w:ind w:left="1560" w:hanging="425"/>
        <w:jc w:val="both"/>
      </w:pPr>
      <w:r w:rsidRPr="00BB3BEC">
        <w:t>D</w:t>
      </w:r>
      <w:r w:rsidR="005D3AB5" w:rsidRPr="00BB3BEC">
        <w:t>escribe additional information that has not been obtained by the MDT</w:t>
      </w:r>
      <w:r w:rsidR="00082AB2">
        <w:t>/</w:t>
      </w:r>
      <w:r w:rsidR="00053C2B">
        <w:t>C</w:t>
      </w:r>
      <w:r w:rsidR="000C04BC">
        <w:t>linical Manager</w:t>
      </w:r>
      <w:r w:rsidR="005D3AB5" w:rsidRPr="00BB3BEC">
        <w:t xml:space="preserve"> that the individual believe needs to be considered; and </w:t>
      </w:r>
    </w:p>
    <w:p w14:paraId="3A12C4BA" w14:textId="7461C5A9" w:rsidR="005D3AB5" w:rsidRPr="00BB3BEC" w:rsidRDefault="00BB3BEC" w:rsidP="00C349B6">
      <w:pPr>
        <w:pStyle w:val="ListParagraph"/>
        <w:numPr>
          <w:ilvl w:val="0"/>
          <w:numId w:val="14"/>
        </w:numPr>
        <w:ind w:left="1560" w:hanging="425"/>
        <w:jc w:val="both"/>
      </w:pPr>
      <w:r w:rsidRPr="00BB3BEC">
        <w:t>D</w:t>
      </w:r>
      <w:r w:rsidR="005D3AB5" w:rsidRPr="00BB3BEC">
        <w:t>escribe additional information that was available to the MDT</w:t>
      </w:r>
      <w:r w:rsidR="00564D04">
        <w:t>/</w:t>
      </w:r>
      <w:r w:rsidR="00053C2B">
        <w:t>C</w:t>
      </w:r>
      <w:r w:rsidR="000C04BC">
        <w:t>linical Manager</w:t>
      </w:r>
      <w:r w:rsidR="005D3AB5" w:rsidRPr="00BB3BEC">
        <w:t xml:space="preserve"> that the individual believes was not given due consideration.</w:t>
      </w:r>
    </w:p>
    <w:p w14:paraId="130141FE" w14:textId="78A20096" w:rsidR="00400E66" w:rsidRDefault="005E4B15" w:rsidP="00712660">
      <w:pPr>
        <w:pStyle w:val="Style2"/>
        <w:ind w:left="1138"/>
        <w:contextualSpacing w:val="0"/>
        <w:jc w:val="both"/>
      </w:pPr>
      <w:r w:rsidRPr="00524F47">
        <w:t xml:space="preserve">At the conclusion of the LRM, the </w:t>
      </w:r>
      <w:r w:rsidR="00053C2B">
        <w:t>Clinical Manager</w:t>
      </w:r>
      <w:r w:rsidRPr="00524F47">
        <w:t xml:space="preserve"> conducting the meeting will summarise the findings of the meeting and </w:t>
      </w:r>
      <w:r w:rsidR="005B5D86">
        <w:t xml:space="preserve">determine </w:t>
      </w:r>
      <w:r w:rsidR="00082AB2">
        <w:t>i</w:t>
      </w:r>
      <w:r w:rsidR="005B5D86">
        <w:t>f the appellant is satisfied with the explanations given</w:t>
      </w:r>
      <w:r w:rsidR="00082AB2">
        <w:t>.</w:t>
      </w:r>
      <w:r>
        <w:t xml:space="preserve">   </w:t>
      </w:r>
      <w:r w:rsidR="00400E66">
        <w:t xml:space="preserve"> </w:t>
      </w:r>
    </w:p>
    <w:p w14:paraId="248D6967" w14:textId="79FD80B0" w:rsidR="00185326" w:rsidRDefault="00185326" w:rsidP="00712660">
      <w:pPr>
        <w:pStyle w:val="Style2"/>
        <w:ind w:left="1138"/>
        <w:contextualSpacing w:val="0"/>
        <w:jc w:val="both"/>
      </w:pPr>
      <w:r>
        <w:t>Minutes will be taken for the informal LRM</w:t>
      </w:r>
      <w:r w:rsidR="00572019">
        <w:t xml:space="preserve">. Minutes will not be verbatim, but a summary of the conversations. Meetings may be recorded for the purposes of producing accurate minutes. </w:t>
      </w:r>
      <w:r w:rsidR="001E7ABD">
        <w:t>Record</w:t>
      </w:r>
      <w:r w:rsidR="00572019">
        <w:t>ings and transcripts are taken for accuracy only and will be deleted following the agreement by all parties that the minutes reflect the content of the meeting.</w:t>
      </w:r>
      <w:r>
        <w:t xml:space="preserve">  </w:t>
      </w:r>
    </w:p>
    <w:p w14:paraId="48411C24" w14:textId="0D3EC611" w:rsidR="004F28BF" w:rsidRPr="00712660" w:rsidRDefault="006765FA" w:rsidP="00712660">
      <w:pPr>
        <w:pStyle w:val="Style2"/>
        <w:ind w:left="1138"/>
        <w:contextualSpacing w:val="0"/>
        <w:jc w:val="both"/>
      </w:pPr>
      <w:r w:rsidRPr="00C349B6">
        <w:t>I</w:t>
      </w:r>
      <w:r w:rsidR="007D29C0" w:rsidRPr="00C349B6">
        <w:t xml:space="preserve">n </w:t>
      </w:r>
      <w:r w:rsidR="00970529" w:rsidRPr="00C349B6">
        <w:t>cases where the appellant has identified evidence that had not been considered in the full assessment process, or where the correct assessment process has not been followed, by</w:t>
      </w:r>
      <w:r w:rsidR="004F28BF" w:rsidRPr="00C349B6">
        <w:t xml:space="preserve"> the original MDT</w:t>
      </w:r>
      <w:r w:rsidR="00082AB2" w:rsidRPr="00C349B6">
        <w:t>/</w:t>
      </w:r>
      <w:r w:rsidR="00053C2B" w:rsidRPr="00C349B6">
        <w:t>Clinical Manager</w:t>
      </w:r>
      <w:r w:rsidR="004F28BF" w:rsidRPr="00C349B6">
        <w:t xml:space="preserve">, </w:t>
      </w:r>
      <w:r w:rsidR="0002121D" w:rsidRPr="00C349B6">
        <w:t>the</w:t>
      </w:r>
      <w:r w:rsidR="00970529" w:rsidRPr="00C349B6">
        <w:t xml:space="preserve"> Chair </w:t>
      </w:r>
      <w:r w:rsidR="0002121D" w:rsidRPr="00C349B6">
        <w:t>may r</w:t>
      </w:r>
      <w:r w:rsidR="004F28BF" w:rsidRPr="00C349B6">
        <w:t>ecommend</w:t>
      </w:r>
      <w:r w:rsidR="0002121D" w:rsidRPr="00C349B6">
        <w:t xml:space="preserve"> that the </w:t>
      </w:r>
      <w:r w:rsidR="004F28BF" w:rsidRPr="00C349B6">
        <w:t xml:space="preserve">full assessment process </w:t>
      </w:r>
      <w:r w:rsidR="0002121D" w:rsidRPr="00C349B6">
        <w:t xml:space="preserve">is repeated, </w:t>
      </w:r>
      <w:r w:rsidR="004F28BF" w:rsidRPr="00C349B6">
        <w:t>with a new MDT</w:t>
      </w:r>
      <w:r w:rsidR="00416BD7" w:rsidRPr="00C349B6">
        <w:t xml:space="preserve"> (or </w:t>
      </w:r>
      <w:r w:rsidR="00053C2B" w:rsidRPr="00C349B6">
        <w:t>Clinical Manager</w:t>
      </w:r>
      <w:r w:rsidR="00416BD7" w:rsidRPr="00C349B6">
        <w:t xml:space="preserve"> in CYPCC cases)</w:t>
      </w:r>
      <w:r w:rsidR="004F28BF" w:rsidRPr="00C349B6">
        <w:t xml:space="preserve"> </w:t>
      </w:r>
    </w:p>
    <w:p w14:paraId="52FD95F9" w14:textId="3C4143D5" w:rsidR="00082AB2" w:rsidRPr="00185326" w:rsidRDefault="00082AB2" w:rsidP="00712660">
      <w:pPr>
        <w:pStyle w:val="Style2"/>
        <w:ind w:left="1138"/>
        <w:contextualSpacing w:val="0"/>
        <w:jc w:val="both"/>
      </w:pPr>
      <w:r w:rsidRPr="00C349B6">
        <w:t>If the LRM does not find issue with process or evidence and the appellant</w:t>
      </w:r>
      <w:r w:rsidRPr="00185326">
        <w:t xml:space="preserve"> </w:t>
      </w:r>
      <w:r w:rsidRPr="001E7ABD">
        <w:t xml:space="preserve">is </w:t>
      </w:r>
      <w:r w:rsidRPr="00712660">
        <w:t>satisfied</w:t>
      </w:r>
      <w:r w:rsidRPr="00185326">
        <w:t xml:space="preserve"> with the explanations given, the </w:t>
      </w:r>
      <w:r w:rsidR="00053C2B">
        <w:t>C</w:t>
      </w:r>
      <w:r w:rsidR="008F6C8F">
        <w:t>linical Manager</w:t>
      </w:r>
      <w:r w:rsidRPr="00185326">
        <w:t xml:space="preserve"> will confirm the ICB’s decision and advise the appellant that the </w:t>
      </w:r>
      <w:r w:rsidR="00C31AB2" w:rsidRPr="00185326">
        <w:t>LRM outcome will be advised to them in writing</w:t>
      </w:r>
      <w:r w:rsidRPr="00185326">
        <w:t xml:space="preserve">. </w:t>
      </w:r>
    </w:p>
    <w:p w14:paraId="6DF2FE7E" w14:textId="2ED40B10" w:rsidR="00082AB2" w:rsidRDefault="00082AB2" w:rsidP="00712660">
      <w:pPr>
        <w:pStyle w:val="Style2"/>
        <w:ind w:left="1138"/>
        <w:contextualSpacing w:val="0"/>
        <w:jc w:val="both"/>
      </w:pPr>
      <w:r w:rsidRPr="00185326">
        <w:t xml:space="preserve">If the LRM </w:t>
      </w:r>
      <w:r w:rsidR="00353C19" w:rsidRPr="00185326">
        <w:t xml:space="preserve">for CHC </w:t>
      </w:r>
      <w:r w:rsidRPr="00185326">
        <w:t xml:space="preserve">does not find issue with process or evidence and the appellant </w:t>
      </w:r>
      <w:r w:rsidRPr="001E7ABD">
        <w:t xml:space="preserve">is </w:t>
      </w:r>
      <w:r w:rsidRPr="00712660">
        <w:t>not satisfied</w:t>
      </w:r>
      <w:r w:rsidRPr="00185326">
        <w:t xml:space="preserve"> with the explanations given, the </w:t>
      </w:r>
      <w:r w:rsidR="008F6C8F">
        <w:t>Clinical Manager</w:t>
      </w:r>
      <w:r w:rsidRPr="00185326">
        <w:t xml:space="preserve"> will confirm the ICB’s decision and advise the appellant that the next steps will be to set a date for a formal Local Resolution Meeting (known as a Local Appeal Panel – LAP).</w:t>
      </w:r>
      <w:r>
        <w:t xml:space="preserve"> </w:t>
      </w:r>
    </w:p>
    <w:p w14:paraId="4E23663E" w14:textId="17B91FA2" w:rsidR="00291C59" w:rsidRDefault="00221DA5" w:rsidP="00712660">
      <w:pPr>
        <w:pStyle w:val="Style2"/>
        <w:ind w:left="1138"/>
        <w:contextualSpacing w:val="0"/>
        <w:jc w:val="both"/>
      </w:pPr>
      <w:r>
        <w:t xml:space="preserve">If the LRM for CYPCC does not find issue with process or evidence and the appellant is not satisfied with the explanations given, the </w:t>
      </w:r>
      <w:r w:rsidR="00053C2B">
        <w:t>C</w:t>
      </w:r>
      <w:r w:rsidR="008F6C8F">
        <w:t>linical Manager</w:t>
      </w:r>
      <w:r>
        <w:t xml:space="preserve"> will confirm the ICB’s decision and advise the appellant that the next steps will be to m</w:t>
      </w:r>
      <w:r w:rsidR="00291C59">
        <w:t xml:space="preserve">ake a formal complaint to the ICB. If still dissatisfied following a complaint investigation and response, the complainant is able to ask the PHSO to investigate and make </w:t>
      </w:r>
      <w:r w:rsidR="00DA606F" w:rsidRPr="00712660">
        <w:t>a</w:t>
      </w:r>
      <w:r w:rsidR="00291C59" w:rsidRPr="00712660">
        <w:t xml:space="preserve"> decision</w:t>
      </w:r>
      <w:r w:rsidR="00DA606F" w:rsidRPr="00712660">
        <w:t xml:space="preserve"> on whether or not the NHS carried out its </w:t>
      </w:r>
      <w:r w:rsidR="00642116" w:rsidRPr="00712660">
        <w:t>decision-making</w:t>
      </w:r>
      <w:r w:rsidR="00DA606F" w:rsidRPr="00712660">
        <w:t xml:space="preserve"> process in line with established guidelines (the National Framework).</w:t>
      </w:r>
    </w:p>
    <w:p w14:paraId="5010842D" w14:textId="33FF53E2" w:rsidR="005E4B15" w:rsidRDefault="00C31AB2" w:rsidP="00712660">
      <w:pPr>
        <w:pStyle w:val="Style2"/>
        <w:ind w:left="1138"/>
        <w:contextualSpacing w:val="0"/>
        <w:jc w:val="both"/>
      </w:pPr>
      <w:r>
        <w:t xml:space="preserve">The </w:t>
      </w:r>
      <w:r w:rsidR="00185326">
        <w:t xml:space="preserve">written summary of the discussion </w:t>
      </w:r>
      <w:r>
        <w:t xml:space="preserve">from the LRM will be sent within 5 working days and be accompanied by the minutes of the LRM. The letter will confirm the ICB’s decision and, where appropriate, invite the appellant to agree a date for the LAP. </w:t>
      </w:r>
      <w:r w:rsidR="0002121D">
        <w:t xml:space="preserve"> </w:t>
      </w:r>
    </w:p>
    <w:p w14:paraId="7E488F83" w14:textId="6541CA42" w:rsidR="002E0EB8" w:rsidRDefault="00C31AB2" w:rsidP="00712660">
      <w:pPr>
        <w:pStyle w:val="Style2"/>
        <w:ind w:left="1138"/>
        <w:contextualSpacing w:val="0"/>
        <w:jc w:val="both"/>
      </w:pPr>
      <w:r>
        <w:t xml:space="preserve">Invitation to the </w:t>
      </w:r>
      <w:r w:rsidR="00D34EF3">
        <w:t xml:space="preserve">CHC </w:t>
      </w:r>
      <w:r>
        <w:t xml:space="preserve">LAP will </w:t>
      </w:r>
      <w:r w:rsidR="00353C19">
        <w:t xml:space="preserve">contain detail of the </w:t>
      </w:r>
      <w:r w:rsidR="002E0EB8">
        <w:t>Panel membership</w:t>
      </w:r>
      <w:r w:rsidR="00353C19">
        <w:t xml:space="preserve"> in terms of roles, not individuals’ names, as identities of representatives may change prior to the meeting date. The LAP members will not have been involved in the assessment/decision-making process of that particular case</w:t>
      </w:r>
      <w:r w:rsidR="00185326">
        <w:t xml:space="preserve"> to ensure impartiality</w:t>
      </w:r>
      <w:r w:rsidR="00353C19">
        <w:t>. The Panel comprises a Chair, who will be a senior clinical ICB manager</w:t>
      </w:r>
      <w:r w:rsidR="00D34EF3">
        <w:t xml:space="preserve"> (not necessarily from the AACC service)</w:t>
      </w:r>
      <w:r w:rsidR="00353C19">
        <w:t xml:space="preserve">, a clinical representative from the AACC service, a subject </w:t>
      </w:r>
      <w:r w:rsidR="002E0EB8">
        <w:t xml:space="preserve">specialist </w:t>
      </w:r>
      <w:r w:rsidR="00353C19">
        <w:t>(</w:t>
      </w:r>
      <w:r w:rsidR="002E0EB8">
        <w:t xml:space="preserve">if </w:t>
      </w:r>
      <w:r w:rsidR="00353C19">
        <w:t>relevant to the case), a Social Worker and an administrator</w:t>
      </w:r>
      <w:r w:rsidR="002E0EB8">
        <w:t xml:space="preserve">. </w:t>
      </w:r>
      <w:r w:rsidR="00221DA5">
        <w:t>The appellant is invited to provide a written statement pertaining to their concerns.</w:t>
      </w:r>
    </w:p>
    <w:p w14:paraId="2677A395" w14:textId="27F938EB" w:rsidR="00221DA5" w:rsidRDefault="00221DA5" w:rsidP="00712660">
      <w:pPr>
        <w:pStyle w:val="Style2"/>
        <w:ind w:left="1138"/>
        <w:contextualSpacing w:val="0"/>
        <w:jc w:val="both"/>
      </w:pPr>
      <w:r>
        <w:t xml:space="preserve">The LAP will be conducted in the same manner as an IRP: </w:t>
      </w:r>
    </w:p>
    <w:p w14:paraId="0C2CB9C8" w14:textId="48A05BD1" w:rsidR="00221DA5" w:rsidRDefault="00221DA5" w:rsidP="00AD335F">
      <w:pPr>
        <w:pStyle w:val="ListParagraph"/>
        <w:numPr>
          <w:ilvl w:val="0"/>
          <w:numId w:val="18"/>
        </w:numPr>
        <w:ind w:left="1560" w:hanging="426"/>
        <w:jc w:val="both"/>
      </w:pPr>
      <w:r>
        <w:t>Introductions</w:t>
      </w:r>
    </w:p>
    <w:p w14:paraId="4AEF40C2" w14:textId="7CF18BAD" w:rsidR="00185326" w:rsidRDefault="00185326" w:rsidP="00AD335F">
      <w:pPr>
        <w:pStyle w:val="ListParagraph"/>
        <w:numPr>
          <w:ilvl w:val="0"/>
          <w:numId w:val="18"/>
        </w:numPr>
        <w:ind w:left="1560" w:hanging="426"/>
        <w:jc w:val="both"/>
      </w:pPr>
      <w:r>
        <w:t>CHC case presenter invited to give a verbal summary portrait of the individual and relevant history to frame the case</w:t>
      </w:r>
    </w:p>
    <w:p w14:paraId="4EC0B77A" w14:textId="1F5EE96E" w:rsidR="00D34EF3" w:rsidRDefault="00221DA5" w:rsidP="00AD335F">
      <w:pPr>
        <w:pStyle w:val="ListParagraph"/>
        <w:numPr>
          <w:ilvl w:val="0"/>
          <w:numId w:val="18"/>
        </w:numPr>
        <w:ind w:left="1560" w:hanging="426"/>
        <w:jc w:val="both"/>
      </w:pPr>
      <w:r>
        <w:t>A</w:t>
      </w:r>
      <w:r w:rsidR="00D34EF3">
        <w:t>p</w:t>
      </w:r>
      <w:r>
        <w:t xml:space="preserve">pellant / representative </w:t>
      </w:r>
      <w:r w:rsidR="00161F06">
        <w:t>invited to give</w:t>
      </w:r>
      <w:r>
        <w:t xml:space="preserve"> a verbal summary portrait of the individual</w:t>
      </w:r>
      <w:r w:rsidR="00D34EF3">
        <w:t xml:space="preserve"> and relevant history to frame the case. </w:t>
      </w:r>
    </w:p>
    <w:p w14:paraId="73AD8D45" w14:textId="4F6F04B5" w:rsidR="002E0EB8" w:rsidRDefault="00D34EF3" w:rsidP="00AD335F">
      <w:pPr>
        <w:pStyle w:val="ListParagraph"/>
        <w:numPr>
          <w:ilvl w:val="0"/>
          <w:numId w:val="18"/>
        </w:numPr>
        <w:ind w:left="1560" w:hanging="426"/>
        <w:jc w:val="both"/>
      </w:pPr>
      <w:r>
        <w:t xml:space="preserve">All present will </w:t>
      </w:r>
      <w:r w:rsidR="00161F06">
        <w:t xml:space="preserve">then </w:t>
      </w:r>
      <w:r>
        <w:t xml:space="preserve">collectively review each domain of the DST </w:t>
      </w:r>
      <w:r w:rsidR="00221DA5">
        <w:t xml:space="preserve">against the evidence and </w:t>
      </w:r>
      <w:r>
        <w:t xml:space="preserve">the level </w:t>
      </w:r>
      <w:r w:rsidR="00221DA5">
        <w:t>descriptors,</w:t>
      </w:r>
      <w:r>
        <w:t xml:space="preserve"> allowing </w:t>
      </w:r>
      <w:r w:rsidR="00221DA5">
        <w:t>discussion and the opportunity for each attendee to provide their view</w:t>
      </w:r>
      <w:r>
        <w:t>s</w:t>
      </w:r>
      <w:r w:rsidR="00221DA5">
        <w:t xml:space="preserve">, which will be recorded for the minutes. </w:t>
      </w:r>
      <w:r>
        <w:t xml:space="preserve">All agreements and disagreements will be documented for the meeting record. </w:t>
      </w:r>
      <w:r w:rsidR="00221DA5">
        <w:t xml:space="preserve"> </w:t>
      </w:r>
      <w:r w:rsidR="002E0EB8">
        <w:t xml:space="preserve"> </w:t>
      </w:r>
    </w:p>
    <w:p w14:paraId="3DA603CC" w14:textId="3484E439" w:rsidR="002E0EB8" w:rsidRDefault="00D34EF3" w:rsidP="00AD335F">
      <w:pPr>
        <w:pStyle w:val="ListParagraph"/>
        <w:numPr>
          <w:ilvl w:val="0"/>
          <w:numId w:val="18"/>
        </w:numPr>
        <w:ind w:left="1560" w:hanging="426"/>
        <w:jc w:val="both"/>
      </w:pPr>
      <w:r>
        <w:t xml:space="preserve">Following review of the DST, the appellant / family / representative will leave, after being advised of the next steps. </w:t>
      </w:r>
    </w:p>
    <w:p w14:paraId="2D6FC5DD" w14:textId="2FD80DDE" w:rsidR="002E0EB8" w:rsidRDefault="00D34EF3" w:rsidP="00AD335F">
      <w:pPr>
        <w:pStyle w:val="ListParagraph"/>
        <w:numPr>
          <w:ilvl w:val="0"/>
          <w:numId w:val="18"/>
        </w:numPr>
        <w:ind w:left="1560" w:hanging="426"/>
        <w:jc w:val="both"/>
      </w:pPr>
      <w:r>
        <w:t xml:space="preserve">The panel will undertake a new PHN test </w:t>
      </w:r>
      <w:r w:rsidR="00185326">
        <w:t>(CHC</w:t>
      </w:r>
      <w:r w:rsidR="006C547C">
        <w:t xml:space="preserve"> only</w:t>
      </w:r>
      <w:r w:rsidR="00185326">
        <w:t xml:space="preserve">) </w:t>
      </w:r>
      <w:r>
        <w:t xml:space="preserve">and agree a </w:t>
      </w:r>
      <w:r w:rsidR="002E0EB8">
        <w:t xml:space="preserve">recommendation. </w:t>
      </w:r>
    </w:p>
    <w:p w14:paraId="2E804825" w14:textId="1F095B47" w:rsidR="005E4B15" w:rsidRDefault="0002121D" w:rsidP="00712660">
      <w:pPr>
        <w:pStyle w:val="Style2"/>
        <w:ind w:left="1138"/>
        <w:contextualSpacing w:val="0"/>
        <w:jc w:val="both"/>
      </w:pPr>
      <w:r>
        <w:t xml:space="preserve">The decision of the </w:t>
      </w:r>
      <w:r w:rsidR="00185326">
        <w:t xml:space="preserve">LAP </w:t>
      </w:r>
      <w:r>
        <w:t xml:space="preserve">will be re-confirmed by letter to the </w:t>
      </w:r>
      <w:r w:rsidR="002148CE">
        <w:t>individual</w:t>
      </w:r>
      <w:r>
        <w:t xml:space="preserve"> / family / representative within </w:t>
      </w:r>
      <w:r w:rsidR="00D34EF3">
        <w:t>5</w:t>
      </w:r>
      <w:r>
        <w:t xml:space="preserve"> working days</w:t>
      </w:r>
      <w:r w:rsidR="00C34362">
        <w:t>, along with the minutes of the meeting</w:t>
      </w:r>
      <w:r w:rsidR="006C547C">
        <w:t>, which will be produced as for an LRM</w:t>
      </w:r>
      <w:r>
        <w:t xml:space="preserve">. The outcome letter will include information of how to make further appeal to </w:t>
      </w:r>
      <w:r w:rsidR="00BB3BEC">
        <w:t xml:space="preserve">a formal </w:t>
      </w:r>
      <w:r w:rsidR="00185326">
        <w:t>IRP</w:t>
      </w:r>
      <w:r w:rsidR="00524F47">
        <w:t xml:space="preserve">. </w:t>
      </w:r>
    </w:p>
    <w:p w14:paraId="08DAA783" w14:textId="44FF6658" w:rsidR="00D34EF3" w:rsidRDefault="00BB3BEC" w:rsidP="00712660">
      <w:pPr>
        <w:pStyle w:val="Style2"/>
        <w:ind w:left="1138"/>
        <w:contextualSpacing w:val="0"/>
        <w:jc w:val="both"/>
      </w:pPr>
      <w:r>
        <w:t xml:space="preserve">If agreement is not reached at the LAP, the outcome letter </w:t>
      </w:r>
      <w:r w:rsidR="00C34362">
        <w:t xml:space="preserve">(which will be accompanied by a copy of the minutes of the LAP) </w:t>
      </w:r>
      <w:r>
        <w:t xml:space="preserve">will advise how to request a further review via </w:t>
      </w:r>
      <w:r w:rsidR="0002121D">
        <w:t>NHS England’s IRP</w:t>
      </w:r>
      <w:r w:rsidR="00D34EF3">
        <w:t xml:space="preserve"> and subsequently to the PHSO if desired. </w:t>
      </w:r>
      <w:r w:rsidR="0002121D">
        <w:t xml:space="preserve"> </w:t>
      </w:r>
    </w:p>
    <w:p w14:paraId="7F6B35D7" w14:textId="59EAE6C7" w:rsidR="008F04F0" w:rsidRPr="0015255F" w:rsidRDefault="007F6641" w:rsidP="00712660">
      <w:pPr>
        <w:pStyle w:val="Heading3"/>
      </w:pPr>
      <w:bookmarkStart w:id="73" w:name="_Toc110851952"/>
      <w:r>
        <w:t>Retrospective assessments</w:t>
      </w:r>
      <w:r w:rsidR="000A1566">
        <w:t xml:space="preserve"> (CHC only)</w:t>
      </w:r>
      <w:bookmarkEnd w:id="73"/>
    </w:p>
    <w:p w14:paraId="62BF9B6F" w14:textId="2C6A5B00" w:rsidR="001D22EC" w:rsidRDefault="0002121D" w:rsidP="00712660">
      <w:pPr>
        <w:pStyle w:val="Style2"/>
        <w:ind w:left="1138"/>
        <w:contextualSpacing w:val="0"/>
        <w:jc w:val="both"/>
      </w:pPr>
      <w:r>
        <w:t xml:space="preserve">Claims for retrospective assessment of eligibility for </w:t>
      </w:r>
      <w:r w:rsidR="001D22EC">
        <w:t xml:space="preserve">NHS CHC </w:t>
      </w:r>
      <w:r>
        <w:t>funding can</w:t>
      </w:r>
      <w:r w:rsidR="001D22EC">
        <w:t xml:space="preserve"> no longer be made for </w:t>
      </w:r>
      <w:r>
        <w:t xml:space="preserve">any period </w:t>
      </w:r>
      <w:r w:rsidR="001D22EC">
        <w:t>of care prior to 31 March 2012</w:t>
      </w:r>
      <w:r>
        <w:t xml:space="preserve">. </w:t>
      </w:r>
    </w:p>
    <w:p w14:paraId="5BD78F2B" w14:textId="0731C9E6" w:rsidR="001D22EC" w:rsidRPr="00712660" w:rsidRDefault="0002121D" w:rsidP="00712660">
      <w:pPr>
        <w:pStyle w:val="Style2"/>
        <w:ind w:left="1138"/>
        <w:contextualSpacing w:val="0"/>
        <w:jc w:val="both"/>
      </w:pPr>
      <w:r w:rsidRPr="00712660">
        <w:t>An</w:t>
      </w:r>
      <w:r w:rsidR="001D22EC" w:rsidRPr="00712660">
        <w:t xml:space="preserve">y individual or their representative who believes that they should have been NHS CHC funded for a period of care that occurred from 1 April 2012 onwards can request a retrospective assessment of a Previously Unassessed Period of Care (PUPoC). </w:t>
      </w:r>
    </w:p>
    <w:p w14:paraId="22FCA262" w14:textId="1C1B2731" w:rsidR="001D22EC" w:rsidRPr="00712660" w:rsidRDefault="001D22EC" w:rsidP="00712660">
      <w:pPr>
        <w:pStyle w:val="Style2"/>
        <w:ind w:left="1138"/>
        <w:contextualSpacing w:val="0"/>
        <w:jc w:val="both"/>
      </w:pPr>
      <w:r w:rsidRPr="00712660">
        <w:t xml:space="preserve">Retrospective claims can only be made for a </w:t>
      </w:r>
      <w:r w:rsidR="008A12AE" w:rsidRPr="00712660">
        <w:t xml:space="preserve">time </w:t>
      </w:r>
      <w:r w:rsidRPr="00712660">
        <w:t xml:space="preserve">period where there was no </w:t>
      </w:r>
      <w:r w:rsidR="008A12AE" w:rsidRPr="00712660">
        <w:t xml:space="preserve">consideration of </w:t>
      </w:r>
      <w:r w:rsidRPr="00712660">
        <w:t xml:space="preserve">eligibility </w:t>
      </w:r>
      <w:r w:rsidR="008A12AE" w:rsidRPr="00712660">
        <w:t xml:space="preserve">for CHC funding </w:t>
      </w:r>
      <w:r w:rsidRPr="00712660">
        <w:t xml:space="preserve">undertaken. </w:t>
      </w:r>
      <w:r w:rsidR="00AD689C" w:rsidRPr="00712660">
        <w:t>Consideration of potential eligibility i</w:t>
      </w:r>
      <w:r w:rsidR="008A12AE" w:rsidRPr="00712660">
        <w:t>ncludes negative screening Checklist</w:t>
      </w:r>
      <w:r w:rsidR="00AD689C" w:rsidRPr="00712660">
        <w:t xml:space="preserve">s and Nursing Needs Assessments. </w:t>
      </w:r>
      <w:r w:rsidRPr="00712660">
        <w:t xml:space="preserve">The retrospective claim route cannot be used to challenge previous eligibility decisions. </w:t>
      </w:r>
    </w:p>
    <w:p w14:paraId="43E3613C" w14:textId="58BB43D6" w:rsidR="00034121" w:rsidRPr="00712660" w:rsidRDefault="001D22EC" w:rsidP="00712660">
      <w:pPr>
        <w:pStyle w:val="Style2"/>
        <w:ind w:left="1138"/>
        <w:contextualSpacing w:val="0"/>
        <w:jc w:val="both"/>
      </w:pPr>
      <w:r w:rsidRPr="00712660">
        <w:t xml:space="preserve">A request for a retrospective assessment will be acknowledged within </w:t>
      </w:r>
      <w:r w:rsidR="00AC0034" w:rsidRPr="00712660">
        <w:t>5</w:t>
      </w:r>
      <w:r w:rsidRPr="00712660">
        <w:t xml:space="preserve"> working days</w:t>
      </w:r>
      <w:r w:rsidR="00034121" w:rsidRPr="00712660">
        <w:t xml:space="preserve"> in writing and accompanied by information relating to the process that will be undertaken. This includes inviting a written submission from the </w:t>
      </w:r>
      <w:r w:rsidR="002148CE" w:rsidRPr="00712660">
        <w:t>individual</w:t>
      </w:r>
      <w:r w:rsidR="00034121" w:rsidRPr="00712660">
        <w:t xml:space="preserve"> / family. </w:t>
      </w:r>
    </w:p>
    <w:p w14:paraId="0592BA87" w14:textId="23265C0F" w:rsidR="008A12AE" w:rsidRPr="00712660" w:rsidRDefault="001D22EC" w:rsidP="00712660">
      <w:pPr>
        <w:pStyle w:val="Style2"/>
        <w:ind w:left="1138"/>
        <w:contextualSpacing w:val="0"/>
        <w:jc w:val="both"/>
      </w:pPr>
      <w:r w:rsidRPr="00712660">
        <w:t>The AACC team will then seek appropriate consent to undertake a desktop assessment</w:t>
      </w:r>
      <w:r w:rsidR="008A12AE" w:rsidRPr="00712660">
        <w:t>; a</w:t>
      </w:r>
      <w:r w:rsidRPr="00712660">
        <w:t xml:space="preserve"> process of requesting, obtaining and collatin</w:t>
      </w:r>
      <w:r w:rsidR="008A12AE" w:rsidRPr="00712660">
        <w:t>g</w:t>
      </w:r>
      <w:r w:rsidRPr="00712660">
        <w:t xml:space="preserve"> all relevant care documentation evidence for the period</w:t>
      </w:r>
      <w:r w:rsidR="00645A94" w:rsidRPr="00712660">
        <w:t>(s)</w:t>
      </w:r>
      <w:r w:rsidRPr="00712660">
        <w:t xml:space="preserve"> in question and presentation of this </w:t>
      </w:r>
      <w:r w:rsidR="008A12AE" w:rsidRPr="00712660">
        <w:t xml:space="preserve">evidence in a </w:t>
      </w:r>
      <w:r w:rsidRPr="00712660">
        <w:t xml:space="preserve">Needs Portrayal </w:t>
      </w:r>
      <w:r w:rsidR="004E63C2" w:rsidRPr="00712660">
        <w:t>D</w:t>
      </w:r>
      <w:r w:rsidRPr="00712660">
        <w:t>ocument</w:t>
      </w:r>
      <w:r w:rsidR="004E63C2" w:rsidRPr="00712660">
        <w:t xml:space="preserve"> (NPD)</w:t>
      </w:r>
      <w:r w:rsidR="008A12AE" w:rsidRPr="00712660">
        <w:t xml:space="preserve">, written by a Registered Nurse. </w:t>
      </w:r>
    </w:p>
    <w:p w14:paraId="284BDE61" w14:textId="11A673D5" w:rsidR="00645A94" w:rsidRPr="00712660" w:rsidRDefault="00645A94" w:rsidP="00712660">
      <w:pPr>
        <w:pStyle w:val="Style2"/>
        <w:ind w:left="1138"/>
        <w:contextualSpacing w:val="0"/>
        <w:jc w:val="both"/>
      </w:pPr>
      <w:r w:rsidRPr="00712660">
        <w:t xml:space="preserve">NPD is not required where a request for a retrospective claim covers a period of up to three months prior to a DST decision. In such cases, the DST and evidence used to make the DST decision will be used to determine eligibility in that period.  </w:t>
      </w:r>
    </w:p>
    <w:p w14:paraId="65648782" w14:textId="39B677B0" w:rsidR="00047CB7" w:rsidRPr="00712660" w:rsidRDefault="008A12AE" w:rsidP="00712660">
      <w:pPr>
        <w:pStyle w:val="Style2"/>
        <w:ind w:left="1138"/>
        <w:contextualSpacing w:val="0"/>
        <w:jc w:val="both"/>
      </w:pPr>
      <w:r w:rsidRPr="00712660">
        <w:t>When prepared, the NP</w:t>
      </w:r>
      <w:r w:rsidR="004E63C2" w:rsidRPr="00712660">
        <w:t>D w</w:t>
      </w:r>
      <w:r w:rsidRPr="00712660">
        <w:t xml:space="preserve">ill be considered by a senior AACC manager who has not previously been involved in the individual’s case. </w:t>
      </w:r>
      <w:r w:rsidR="00034121" w:rsidRPr="00712660">
        <w:t xml:space="preserve">If there is sufficient evidence of eligibility, this will be awarded for the relevant period. If </w:t>
      </w:r>
      <w:r w:rsidR="00AD689C" w:rsidRPr="00712660">
        <w:t xml:space="preserve">it is considered that </w:t>
      </w:r>
      <w:r w:rsidR="00034121" w:rsidRPr="00712660">
        <w:t xml:space="preserve">there is no evidence to support eligibility, this will be </w:t>
      </w:r>
      <w:r w:rsidR="00AD689C" w:rsidRPr="00712660">
        <w:t>verified via the weekly Joint Verification Panels (</w:t>
      </w:r>
      <w:r w:rsidR="00FC1B55" w:rsidRPr="00712660">
        <w:t>Section</w:t>
      </w:r>
      <w:r w:rsidR="00AD689C" w:rsidRPr="00712660">
        <w:t xml:space="preserve"> 6.11.2) with a senior social care professional and clinician</w:t>
      </w:r>
      <w:r w:rsidR="00034121" w:rsidRPr="00712660">
        <w:t>.</w:t>
      </w:r>
    </w:p>
    <w:p w14:paraId="5530261F" w14:textId="281A7574" w:rsidR="008A12AE" w:rsidRPr="00712660" w:rsidRDefault="00047CB7" w:rsidP="00712660">
      <w:pPr>
        <w:pStyle w:val="Style2"/>
        <w:ind w:left="1138"/>
        <w:contextualSpacing w:val="0"/>
        <w:jc w:val="both"/>
      </w:pPr>
      <w:r w:rsidRPr="00712660">
        <w:t xml:space="preserve">The ICB’s decision will be recorded in the case management system and communicated by letter, accompanied by the NPD. Information on how to appeal the decision will be included in the correspondence. </w:t>
      </w:r>
      <w:r w:rsidR="00034121" w:rsidRPr="00712660">
        <w:t xml:space="preserve">   </w:t>
      </w:r>
      <w:r w:rsidR="008A12AE" w:rsidRPr="00712660">
        <w:t xml:space="preserve"> </w:t>
      </w:r>
    </w:p>
    <w:p w14:paraId="4A30C869" w14:textId="19BC49F7" w:rsidR="0084134D" w:rsidRPr="0015255F" w:rsidRDefault="0084134D" w:rsidP="00712660">
      <w:pPr>
        <w:pStyle w:val="Heading3"/>
      </w:pPr>
      <w:bookmarkStart w:id="74" w:name="_Toc110851953"/>
      <w:r>
        <w:t xml:space="preserve">Redress </w:t>
      </w:r>
      <w:r w:rsidR="000A1566">
        <w:t>(CHC only)</w:t>
      </w:r>
      <w:bookmarkEnd w:id="74"/>
    </w:p>
    <w:p w14:paraId="4C852F5F" w14:textId="5406AF57" w:rsidR="0084134D" w:rsidRDefault="0084134D" w:rsidP="00712660">
      <w:pPr>
        <w:pStyle w:val="Style2"/>
        <w:ind w:left="1138"/>
        <w:contextualSpacing w:val="0"/>
        <w:jc w:val="both"/>
      </w:pPr>
      <w:r>
        <w:t>Where an individual is found eligible for a period of NHS CHC funding, whether retrospectively or contemporaneously, and has been in receipt of care during that time</w:t>
      </w:r>
      <w:r w:rsidR="00E56E22">
        <w:t xml:space="preserve"> period</w:t>
      </w:r>
      <w:r>
        <w:t xml:space="preserve">, they are entitled to financial restitution.  </w:t>
      </w:r>
    </w:p>
    <w:p w14:paraId="326A2E22" w14:textId="1F817A7E" w:rsidR="00E56E22" w:rsidRDefault="00E56E22" w:rsidP="00712660">
      <w:pPr>
        <w:pStyle w:val="Style2"/>
        <w:ind w:left="1138"/>
        <w:contextualSpacing w:val="0"/>
        <w:jc w:val="both"/>
      </w:pPr>
      <w:r>
        <w:t>The ICB will invite applications for redress when a person has been found eligible for a period of NHS funding, and will resolve the claim and pay the redress with minimal delay.</w:t>
      </w:r>
      <w:r w:rsidR="00D34EF3">
        <w:t xml:space="preserve"> The aim is to pay the redress with 28 days of all required evidence to enable a decision on payment to be made, being received by the ICB. </w:t>
      </w:r>
    </w:p>
    <w:p w14:paraId="7A9864D3" w14:textId="4544FE1A" w:rsidR="00E56E22" w:rsidRDefault="00E56E22" w:rsidP="00712660">
      <w:pPr>
        <w:pStyle w:val="Style2"/>
        <w:ind w:left="1138"/>
        <w:contextualSpacing w:val="0"/>
        <w:jc w:val="both"/>
      </w:pPr>
      <w:r>
        <w:t xml:space="preserve">The ICB will consider applications for redress relating to care and support costs incurred in any setting, accommodation costs incurred in care homes and will give due consideration to other costs incurred on a </w:t>
      </w:r>
      <w:r w:rsidR="00642116">
        <w:t>case-by-case</w:t>
      </w:r>
      <w:r>
        <w:t xml:space="preserve"> basis.  </w:t>
      </w:r>
    </w:p>
    <w:p w14:paraId="7232193D" w14:textId="02D50C7B" w:rsidR="00E56E22" w:rsidRDefault="00E56E22" w:rsidP="00712660">
      <w:pPr>
        <w:pStyle w:val="Style2"/>
        <w:ind w:left="1138"/>
        <w:contextualSpacing w:val="0"/>
        <w:jc w:val="both"/>
      </w:pPr>
      <w:r>
        <w:t xml:space="preserve">Claimants will be advised of the process to be followed and the anticipated timescales for resolution and updated at any point a delay occurs in the redress pathway.  </w:t>
      </w:r>
    </w:p>
    <w:p w14:paraId="5054A91D" w14:textId="424C86C7" w:rsidR="003B310D" w:rsidRDefault="003B310D" w:rsidP="00712660">
      <w:pPr>
        <w:pStyle w:val="Style2"/>
        <w:ind w:left="1138"/>
        <w:contextualSpacing w:val="0"/>
        <w:jc w:val="both"/>
      </w:pPr>
      <w:r>
        <w:t>Redress is about placing individuals in the position they would have been in had NHS Continuing Healthcare been awarded at the appropriate time and not about the NHS or the public profiting from public funds.</w:t>
      </w:r>
    </w:p>
    <w:p w14:paraId="59C07230" w14:textId="0CDB4DB3" w:rsidR="003B310D" w:rsidRDefault="003B310D" w:rsidP="00712660">
      <w:pPr>
        <w:pStyle w:val="Style2"/>
        <w:ind w:left="1138"/>
        <w:contextualSpacing w:val="0"/>
        <w:jc w:val="both"/>
      </w:pPr>
      <w:r>
        <w:t>The Retail Price Index will be used as the appropriate interest rate to apply to redress calculations of compound interest. The index is calculated monthly, with an average for each calendar year. The ICB will apply the average rate for the year for which care costs are being reimbursed.</w:t>
      </w:r>
    </w:p>
    <w:p w14:paraId="341B37A8" w14:textId="5440887E" w:rsidR="003B310D" w:rsidRDefault="003B310D" w:rsidP="00712660">
      <w:pPr>
        <w:pStyle w:val="Style2"/>
        <w:ind w:left="1138"/>
        <w:contextualSpacing w:val="0"/>
        <w:jc w:val="both"/>
      </w:pPr>
      <w:r>
        <w:t>Individuals do not need to seek legal advice in order to request an assessment of eligibility for NHS Continuing Healthcare or a review of a decision on eligibility and therefore it is rarely appropriate to receive any refund of legal and professional costs.</w:t>
      </w:r>
    </w:p>
    <w:p w14:paraId="05965E35" w14:textId="4AC13A04" w:rsidR="003B310D" w:rsidRDefault="003B310D" w:rsidP="00712660">
      <w:pPr>
        <w:pStyle w:val="Style2"/>
        <w:ind w:left="1138"/>
        <w:contextualSpacing w:val="0"/>
        <w:jc w:val="both"/>
      </w:pPr>
      <w:r>
        <w:t xml:space="preserve">If an individual is dissatisfied with the </w:t>
      </w:r>
      <w:r w:rsidR="00D9794C">
        <w:t>ICB</w:t>
      </w:r>
      <w:r>
        <w:t xml:space="preserve">’s redress offer, they can pursue the matter via the </w:t>
      </w:r>
      <w:r w:rsidR="00D9794C">
        <w:t>ICB</w:t>
      </w:r>
      <w:r>
        <w:t xml:space="preserve">’s complaints process. However, </w:t>
      </w:r>
      <w:r w:rsidR="00D9794C">
        <w:t>the ICB</w:t>
      </w:r>
      <w:r>
        <w:t xml:space="preserve"> should not delay payment in respect of undisputed elements.</w:t>
      </w:r>
    </w:p>
    <w:p w14:paraId="60411F7E" w14:textId="77777777" w:rsidR="00E56E22" w:rsidRDefault="00E56E22" w:rsidP="0084134D">
      <w:pPr>
        <w:ind w:hanging="1134"/>
        <w:jc w:val="both"/>
      </w:pPr>
    </w:p>
    <w:p w14:paraId="7282BCFE" w14:textId="4C9A8912" w:rsidR="00B62B7D" w:rsidRPr="0015255F" w:rsidRDefault="00A41B14" w:rsidP="00712660">
      <w:pPr>
        <w:pStyle w:val="Heading3"/>
      </w:pPr>
      <w:bookmarkStart w:id="75" w:name="_Toc110851954"/>
      <w:r>
        <w:t>Initiation</w:t>
      </w:r>
      <w:r w:rsidR="00E52432">
        <w:t>, Suspension</w:t>
      </w:r>
      <w:r>
        <w:t xml:space="preserve"> and </w:t>
      </w:r>
      <w:r w:rsidR="00B62B7D">
        <w:t>Cessation of funding</w:t>
      </w:r>
      <w:bookmarkEnd w:id="75"/>
      <w:r w:rsidR="00B62B7D">
        <w:t xml:space="preserve"> </w:t>
      </w:r>
    </w:p>
    <w:p w14:paraId="7A67B4F1" w14:textId="1237753E" w:rsidR="00B1558D" w:rsidRDefault="00A41B14" w:rsidP="00712660">
      <w:pPr>
        <w:pStyle w:val="Style2"/>
        <w:ind w:left="1138"/>
        <w:contextualSpacing w:val="0"/>
        <w:jc w:val="both"/>
      </w:pPr>
      <w:r>
        <w:t xml:space="preserve">CHC and FNC funding (and the health element of Joint Funding) </w:t>
      </w:r>
      <w:r w:rsidR="00485C1F">
        <w:t xml:space="preserve">for adult cases </w:t>
      </w:r>
      <w:r>
        <w:t>will commence on the 29</w:t>
      </w:r>
      <w:r w:rsidRPr="00712660">
        <w:t>th</w:t>
      </w:r>
      <w:r>
        <w:t xml:space="preserve"> day from receipt of a positive Checklist, or the date of the DST, whichever is sooner. </w:t>
      </w:r>
    </w:p>
    <w:p w14:paraId="7EDA1B89" w14:textId="7499909B" w:rsidR="00185326" w:rsidRDefault="00185326" w:rsidP="00712660">
      <w:pPr>
        <w:pStyle w:val="Style2"/>
        <w:ind w:left="1138"/>
        <w:contextualSpacing w:val="0"/>
        <w:jc w:val="both"/>
      </w:pPr>
      <w:r>
        <w:t>For CYPP, funding will commence upon panel agreement of the recommended package of care, with the aim of commencement at day 43.</w:t>
      </w:r>
    </w:p>
    <w:p w14:paraId="7540956A" w14:textId="424D7648" w:rsidR="00A41B14" w:rsidRDefault="00A41B14" w:rsidP="00712660">
      <w:pPr>
        <w:pStyle w:val="Style2"/>
        <w:ind w:left="1138"/>
        <w:contextualSpacing w:val="0"/>
        <w:jc w:val="both"/>
      </w:pPr>
      <w:r>
        <w:t xml:space="preserve">FT funding commences on </w:t>
      </w:r>
      <w:r w:rsidR="00B1558D">
        <w:t xml:space="preserve">the date of </w:t>
      </w:r>
      <w:r>
        <w:t>verification of the referral</w:t>
      </w:r>
      <w:r w:rsidR="00B1558D">
        <w:t>, on implementation of a home care package or on admission to a care home</w:t>
      </w:r>
      <w:r>
        <w:t xml:space="preserve">.  </w:t>
      </w:r>
    </w:p>
    <w:p w14:paraId="18D852E7" w14:textId="30BF7841" w:rsidR="00E52432" w:rsidRDefault="00E52432" w:rsidP="00712660">
      <w:pPr>
        <w:pStyle w:val="Style2"/>
        <w:ind w:left="1138"/>
        <w:contextualSpacing w:val="0"/>
        <w:jc w:val="both"/>
      </w:pPr>
      <w:r>
        <w:t xml:space="preserve">Funding will be suspended in full or in part when an individual is not in receipt of the entirety or elements of their commissioned care package. The provider is responsible for informing the AACC service of any elements of a care package that are either temporarily suspended or no longer being delivered, within two working days of the change occurring. The suspension of </w:t>
      </w:r>
      <w:r w:rsidR="00BC2869">
        <w:t>the r</w:t>
      </w:r>
      <w:r>
        <w:t xml:space="preserve">elevant proportion of the funding will be agreed between the provider and the AACC service.       </w:t>
      </w:r>
    </w:p>
    <w:p w14:paraId="421C6C2A" w14:textId="3C75361F" w:rsidR="00432EB3" w:rsidRDefault="00432EB3" w:rsidP="00712660">
      <w:pPr>
        <w:pStyle w:val="Style2"/>
        <w:ind w:left="1138"/>
        <w:contextualSpacing w:val="0"/>
        <w:jc w:val="both"/>
      </w:pPr>
      <w:r>
        <w:t>CHC</w:t>
      </w:r>
      <w:r w:rsidR="008260E1">
        <w:t>, FT, FNC and the health element of Joint Funding</w:t>
      </w:r>
      <w:r>
        <w:t xml:space="preserve"> </w:t>
      </w:r>
      <w:r w:rsidR="008260E1">
        <w:t>(</w:t>
      </w:r>
      <w:r w:rsidR="008260E1" w:rsidRPr="00014222">
        <w:t>Section 6.2</w:t>
      </w:r>
      <w:r w:rsidR="00014222" w:rsidRPr="00014222">
        <w:t>7</w:t>
      </w:r>
      <w:r w:rsidR="008260E1">
        <w:t xml:space="preserve">) payments </w:t>
      </w:r>
      <w:r>
        <w:t>will cease when an individual in receipt of that funding has been reviewed and is no longer assessed to have a Primary Health Need</w:t>
      </w:r>
      <w:r w:rsidR="008260E1">
        <w:t xml:space="preserve">, Nursing Needs (in a nursing home placement), </w:t>
      </w:r>
      <w:r>
        <w:t>or the specific health need that is jointly funded with the LA</w:t>
      </w:r>
      <w:r w:rsidR="008260E1">
        <w:t>, as applicable</w:t>
      </w:r>
      <w:r>
        <w:t xml:space="preserve">. </w:t>
      </w:r>
    </w:p>
    <w:p w14:paraId="05B67493" w14:textId="77AA1B4D" w:rsidR="00A41B14" w:rsidRDefault="00B1558D" w:rsidP="00712660">
      <w:pPr>
        <w:pStyle w:val="Style2"/>
        <w:ind w:left="1138"/>
        <w:contextualSpacing w:val="0"/>
        <w:jc w:val="both"/>
      </w:pPr>
      <w:r>
        <w:t>Where no longer eligible for funding, t</w:t>
      </w:r>
      <w:r w:rsidR="00432EB3">
        <w:t xml:space="preserve">he ICB will give notice of cessation of the funding to the </w:t>
      </w:r>
      <w:r w:rsidR="008260E1">
        <w:t xml:space="preserve">individual, the care provider and to the </w:t>
      </w:r>
      <w:r w:rsidR="00432EB3">
        <w:t>LA of no less than 28 days from the date of the decision</w:t>
      </w:r>
      <w:r w:rsidR="008260E1">
        <w:t xml:space="preserve"> being notified in writing</w:t>
      </w:r>
      <w:r w:rsidR="00432EB3">
        <w:t xml:space="preserve">, to allow a safe transfer of responsibility. </w:t>
      </w:r>
    </w:p>
    <w:p w14:paraId="488B4A53" w14:textId="53E64338" w:rsidR="00A10661" w:rsidRDefault="00A10661" w:rsidP="00712660">
      <w:pPr>
        <w:pStyle w:val="Style2"/>
        <w:ind w:left="1138"/>
        <w:contextualSpacing w:val="0"/>
        <w:jc w:val="both"/>
      </w:pPr>
      <w:r w:rsidRPr="00A10661">
        <w:t>Where a CYPCC care package is to be removed,</w:t>
      </w:r>
      <w:r>
        <w:t xml:space="preserve"> a planned withdrawal of care will be implemented, contingent on meeting clinical needs that may still be present. There is no set timeframe for cessation of funding</w:t>
      </w:r>
      <w:r w:rsidR="00485C1F">
        <w:t>;</w:t>
      </w:r>
      <w:r>
        <w:t xml:space="preserve"> this will be negotiated to ensure a safe transfer of responsibility. </w:t>
      </w:r>
    </w:p>
    <w:p w14:paraId="1E906906" w14:textId="43ADAB10" w:rsidR="00B1558D" w:rsidRDefault="00A41B14" w:rsidP="00712660">
      <w:pPr>
        <w:pStyle w:val="Style2"/>
        <w:ind w:left="1138"/>
        <w:contextualSpacing w:val="0"/>
        <w:jc w:val="both"/>
      </w:pPr>
      <w:r>
        <w:t xml:space="preserve">In the event of the death of a funded </w:t>
      </w:r>
      <w:r w:rsidR="002148CE">
        <w:t>individual</w:t>
      </w:r>
      <w:r>
        <w:t>, the ICB will fund a care home placement for a further two days after the date a</w:t>
      </w:r>
      <w:r w:rsidR="00DA606F">
        <w:t>n</w:t>
      </w:r>
      <w:r>
        <w:t xml:space="preserve"> </w:t>
      </w:r>
      <w:r w:rsidR="002148CE">
        <w:t>individual</w:t>
      </w:r>
      <w:r>
        <w:t xml:space="preserve"> dies, to allow time to clear belongings and prepare the accommodation for a further admission. </w:t>
      </w:r>
    </w:p>
    <w:p w14:paraId="0EFFC307" w14:textId="788857FB" w:rsidR="00A41B14" w:rsidRDefault="00A41B14" w:rsidP="00712660">
      <w:pPr>
        <w:pStyle w:val="Style2"/>
        <w:ind w:left="1138"/>
        <w:contextualSpacing w:val="0"/>
        <w:jc w:val="both"/>
      </w:pPr>
      <w:r>
        <w:t>Domiciliary care packages will cease 24 hours following the death of a</w:t>
      </w:r>
      <w:r w:rsidR="00DA606F">
        <w:t>n</w:t>
      </w:r>
      <w:r>
        <w:t xml:space="preserve"> </w:t>
      </w:r>
      <w:r w:rsidR="002148CE">
        <w:t>individual</w:t>
      </w:r>
      <w:r>
        <w:t xml:space="preserve"> in receipt of a home care package.  </w:t>
      </w:r>
    </w:p>
    <w:p w14:paraId="54B4EED0" w14:textId="21A429DA" w:rsidR="00B1558D" w:rsidRDefault="00B1558D" w:rsidP="00712660">
      <w:pPr>
        <w:pStyle w:val="Style2"/>
        <w:ind w:left="1138"/>
        <w:contextualSpacing w:val="0"/>
        <w:jc w:val="both"/>
      </w:pPr>
      <w:r>
        <w:t xml:space="preserve">FNC payments will cease on the date of death.    </w:t>
      </w:r>
    </w:p>
    <w:p w14:paraId="55AF57F3" w14:textId="31E658CD" w:rsidR="00B1558D" w:rsidRDefault="00A41B14" w:rsidP="00712660">
      <w:pPr>
        <w:pStyle w:val="Style2"/>
        <w:ind w:left="1138"/>
        <w:contextualSpacing w:val="0"/>
        <w:jc w:val="both"/>
      </w:pPr>
      <w:r>
        <w:t xml:space="preserve">FNC payments will cease when the </w:t>
      </w:r>
      <w:r w:rsidR="002148CE">
        <w:t>individual</w:t>
      </w:r>
      <w:r>
        <w:t xml:space="preserve"> has been admitted to hospital for 5 days</w:t>
      </w:r>
      <w:r w:rsidR="00B1558D">
        <w:t xml:space="preserve"> and will resume on the date of discharge back to the care home. </w:t>
      </w:r>
    </w:p>
    <w:p w14:paraId="744020CA" w14:textId="6CE98AAF" w:rsidR="00B1558D" w:rsidRDefault="00B1558D" w:rsidP="00712660">
      <w:pPr>
        <w:pStyle w:val="Style2"/>
        <w:ind w:left="1138"/>
        <w:contextualSpacing w:val="0"/>
        <w:jc w:val="both"/>
      </w:pPr>
      <w:r>
        <w:t xml:space="preserve">CHC-funded care home placements (including FTs) will cease at 28 days following admission to hospital, unless agreement is reached that the </w:t>
      </w:r>
      <w:r w:rsidR="002148CE">
        <w:t>individual</w:t>
      </w:r>
      <w:r>
        <w:t xml:space="preserve"> will return to the same placement on discharge, in which case a negotiated reduction of the full care package cost will apply until hospital discharge, when the full cost will be reinstated.    </w:t>
      </w:r>
    </w:p>
    <w:p w14:paraId="3D60E9C3" w14:textId="567A5016" w:rsidR="008260E1" w:rsidRDefault="00432EB3" w:rsidP="00712660">
      <w:pPr>
        <w:pStyle w:val="Style2"/>
        <w:ind w:left="1138"/>
        <w:contextualSpacing w:val="0"/>
        <w:jc w:val="both"/>
      </w:pPr>
      <w:r>
        <w:t>The</w:t>
      </w:r>
      <w:r w:rsidR="008260E1">
        <w:t>re is no right to continued NHS funding while an appeal against a not eligible decision is pending. Redress may apply if the decision is later overturned (</w:t>
      </w:r>
      <w:r w:rsidR="008260E1" w:rsidRPr="00014222">
        <w:t>Section 6.2</w:t>
      </w:r>
      <w:r w:rsidR="00014222" w:rsidRPr="00014222">
        <w:t>3</w:t>
      </w:r>
      <w:r w:rsidR="008260E1" w:rsidRPr="00014222">
        <w:t>).</w:t>
      </w:r>
    </w:p>
    <w:p w14:paraId="28BC69CB" w14:textId="2D5F4737" w:rsidR="00485C1F" w:rsidRDefault="002148CE" w:rsidP="00712660">
      <w:pPr>
        <w:pStyle w:val="Style2"/>
        <w:ind w:left="1138"/>
        <w:contextualSpacing w:val="0"/>
        <w:jc w:val="both"/>
      </w:pPr>
      <w:r>
        <w:t>Individual</w:t>
      </w:r>
      <w:r w:rsidR="00485C1F">
        <w:t xml:space="preserve">s and families should be signposted to local services that could provide support and advised of those core NHS services for which they are still eligible.  </w:t>
      </w:r>
    </w:p>
    <w:p w14:paraId="0158A1A3" w14:textId="339D21B5" w:rsidR="00017123" w:rsidRPr="0015255F" w:rsidRDefault="00017123" w:rsidP="00712660">
      <w:pPr>
        <w:pStyle w:val="Heading3"/>
      </w:pPr>
      <w:bookmarkStart w:id="76" w:name="_Toc110851955"/>
      <w:r>
        <w:t>Disputes with Local Authority</w:t>
      </w:r>
      <w:bookmarkEnd w:id="76"/>
      <w:r>
        <w:t xml:space="preserve"> </w:t>
      </w:r>
    </w:p>
    <w:p w14:paraId="21E798E8" w14:textId="6589ECF3" w:rsidR="006E7A62" w:rsidRDefault="00017123" w:rsidP="00712660">
      <w:pPr>
        <w:pStyle w:val="Style2"/>
        <w:ind w:left="1138"/>
        <w:contextualSpacing w:val="0"/>
        <w:jc w:val="both"/>
      </w:pPr>
      <w:r>
        <w:t xml:space="preserve">The ICB </w:t>
      </w:r>
      <w:r w:rsidR="008C0562">
        <w:t>has agreed</w:t>
      </w:r>
      <w:r>
        <w:t xml:space="preserve"> a Disputes Policy with the relevant Local Authorities</w:t>
      </w:r>
      <w:r w:rsidR="006E7A62">
        <w:t xml:space="preserve"> for </w:t>
      </w:r>
      <w:r w:rsidR="00185326">
        <w:t>AACC</w:t>
      </w:r>
      <w:r>
        <w:t>. Th</w:t>
      </w:r>
      <w:r w:rsidR="006E7A62">
        <w:t>is is a j</w:t>
      </w:r>
      <w:r>
        <w:t>ointly agreed polic</w:t>
      </w:r>
      <w:r w:rsidR="006E7A62">
        <w:t>y</w:t>
      </w:r>
      <w:r>
        <w:t xml:space="preserve"> requiring governance approval from the health and social care bodies and </w:t>
      </w:r>
      <w:r w:rsidR="004F11C6">
        <w:t xml:space="preserve">will be published on the AACC service web pages. </w:t>
      </w:r>
    </w:p>
    <w:p w14:paraId="265E42CE" w14:textId="7C0CA65B" w:rsidR="005D241B" w:rsidRPr="00712660" w:rsidRDefault="005D241B" w:rsidP="00712660">
      <w:pPr>
        <w:pStyle w:val="Heading3"/>
      </w:pPr>
      <w:bookmarkStart w:id="77" w:name="_Toc110851956"/>
      <w:r w:rsidRPr="00712660">
        <w:t>Transition from child to adult services</w:t>
      </w:r>
      <w:bookmarkEnd w:id="77"/>
      <w:r w:rsidRPr="00712660">
        <w:t xml:space="preserve"> </w:t>
      </w:r>
    </w:p>
    <w:p w14:paraId="6FABD924" w14:textId="431A2A26" w:rsidR="00436A36" w:rsidRDefault="008A0F58" w:rsidP="00712660">
      <w:pPr>
        <w:pStyle w:val="Style2"/>
        <w:ind w:left="1138"/>
        <w:contextualSpacing w:val="0"/>
        <w:jc w:val="both"/>
      </w:pPr>
      <w:r>
        <w:t xml:space="preserve">Transition is </w:t>
      </w:r>
      <w:r w:rsidR="00642F54">
        <w:t xml:space="preserve">recognised to be </w:t>
      </w:r>
      <w:r>
        <w:t xml:space="preserve">crucial stage for young people who have complex ongoing health needs and/or life-limiting conditions. Child and adult service provision is often very different and it can be a stressful time for families navigating </w:t>
      </w:r>
      <w:r w:rsidR="00642F54">
        <w:t xml:space="preserve">the pathway. </w:t>
      </w:r>
      <w:r w:rsidR="00AD689C">
        <w:t xml:space="preserve"> </w:t>
      </w:r>
    </w:p>
    <w:p w14:paraId="4BCB4927" w14:textId="5DCFBEF5" w:rsidR="0024379C" w:rsidRPr="00712660" w:rsidRDefault="0024379C" w:rsidP="00712660">
      <w:pPr>
        <w:pStyle w:val="Style2"/>
        <w:ind w:left="1138"/>
        <w:contextualSpacing w:val="0"/>
        <w:jc w:val="both"/>
      </w:pPr>
      <w:r w:rsidRPr="00712660">
        <w:t>A key aim of transition is to ensure that a consistent package of support is provided during the years before and after the transition to adulthood. The nature of the package may change because the young person’s needs or circumstances change. However, it should not change simply because of the move from child</w:t>
      </w:r>
      <w:r w:rsidR="00642116" w:rsidRPr="00712660">
        <w:t xml:space="preserve"> </w:t>
      </w:r>
      <w:r w:rsidRPr="00712660">
        <w:t>to adult services or because of a change in the organisation with commissioning or funding responsibilities. Where change is necessary, it should be carried out in a planned manner, in full consultation with the young person</w:t>
      </w:r>
      <w:r w:rsidR="00185326" w:rsidRPr="00712660">
        <w:t xml:space="preserve"> and family</w:t>
      </w:r>
      <w:r w:rsidRPr="00712660">
        <w:t xml:space="preserve">. No services or funding should be unilaterally withdrawn unless a full joint health and social care assessment has been carried out and alternative funding arrangements have been put in place. </w:t>
      </w:r>
    </w:p>
    <w:p w14:paraId="09062343" w14:textId="05DD9DF7" w:rsidR="00DC4833" w:rsidRDefault="002148CE" w:rsidP="00712660">
      <w:pPr>
        <w:pStyle w:val="Style2"/>
        <w:ind w:left="1138"/>
        <w:contextualSpacing w:val="0"/>
        <w:jc w:val="both"/>
      </w:pPr>
      <w:r>
        <w:t>Individual</w:t>
      </w:r>
      <w:r w:rsidR="00DC4833">
        <w:t xml:space="preserve"> literature regarding transition </w:t>
      </w:r>
      <w:r w:rsidR="00B1558D">
        <w:t xml:space="preserve">will be </w:t>
      </w:r>
      <w:r w:rsidR="00DC4833">
        <w:t>developed and accessible to all</w:t>
      </w:r>
      <w:r w:rsidR="00B1558D">
        <w:t>, to promote autonomy in decision-making.</w:t>
      </w:r>
      <w:r w:rsidR="00DC4833">
        <w:t xml:space="preserve"> </w:t>
      </w:r>
    </w:p>
    <w:p w14:paraId="17A8E64B" w14:textId="2201C1DB" w:rsidR="000A1566" w:rsidRDefault="00185326" w:rsidP="00712660">
      <w:pPr>
        <w:pStyle w:val="Style2"/>
        <w:ind w:left="1138"/>
        <w:contextualSpacing w:val="0"/>
        <w:jc w:val="both"/>
      </w:pPr>
      <w:r>
        <w:t>All</w:t>
      </w:r>
      <w:r w:rsidR="00DC4833">
        <w:t xml:space="preserve"> staff </w:t>
      </w:r>
      <w:r w:rsidR="00B1558D">
        <w:t xml:space="preserve">will be fully aware of the AACC transition pathway and work together to achieve a high-quality and safe transfer of responsibilities. </w:t>
      </w:r>
    </w:p>
    <w:p w14:paraId="61E2FB20" w14:textId="3876C015" w:rsidR="000A1566" w:rsidRDefault="000A1566" w:rsidP="00712660">
      <w:pPr>
        <w:pStyle w:val="Style2"/>
        <w:ind w:left="1138"/>
        <w:contextualSpacing w:val="0"/>
        <w:jc w:val="both"/>
      </w:pPr>
      <w:r>
        <w:t>In acknowledgement that the CYPCC threshold is set very high CHC will accept the CYPCC DST as the referral document in place of a checklist</w:t>
      </w:r>
      <w:r w:rsidR="004F11C6">
        <w:t>.</w:t>
      </w:r>
      <w:r w:rsidR="00DA606F">
        <w:t xml:space="preserve"> </w:t>
      </w:r>
    </w:p>
    <w:p w14:paraId="0CE6743B" w14:textId="3EB3B115" w:rsidR="00B1558D" w:rsidRDefault="00B1558D" w:rsidP="00712660">
      <w:pPr>
        <w:pStyle w:val="Style2"/>
        <w:ind w:left="1138"/>
        <w:contextualSpacing w:val="0"/>
        <w:jc w:val="both"/>
      </w:pPr>
      <w:r>
        <w:t>The AACC service will ensure that it learns from the experience of f</w:t>
      </w:r>
      <w:r w:rsidR="00DC4833">
        <w:t>amilies</w:t>
      </w:r>
      <w:r>
        <w:t xml:space="preserve">, </w:t>
      </w:r>
      <w:r w:rsidR="00FB096E">
        <w:t xml:space="preserve">staff and providers using a co-design, co-production approach to service development. Feedback/monitoring will be designed with the focus on improving </w:t>
      </w:r>
      <w:r w:rsidR="002148CE">
        <w:t>individual</w:t>
      </w:r>
      <w:r w:rsidR="00FB096E">
        <w:t xml:space="preserve">s’ experience of transition. </w:t>
      </w:r>
    </w:p>
    <w:p w14:paraId="7A2A611F" w14:textId="0E9D4919" w:rsidR="00DC4833" w:rsidRDefault="00B1558D" w:rsidP="00712660">
      <w:pPr>
        <w:pStyle w:val="Style2"/>
        <w:ind w:left="1138"/>
        <w:contextualSpacing w:val="0"/>
        <w:jc w:val="both"/>
      </w:pPr>
      <w:r>
        <w:t xml:space="preserve">The AACC service will support the provider market </w:t>
      </w:r>
      <w:r w:rsidR="00FB096E">
        <w:t>to prepare for meeting the needs of young people wi</w:t>
      </w:r>
      <w:r w:rsidR="00DC4833">
        <w:t>th complex needs</w:t>
      </w:r>
      <w:r w:rsidR="00FB096E">
        <w:t>.</w:t>
      </w:r>
    </w:p>
    <w:p w14:paraId="51841D97" w14:textId="430A0F16" w:rsidR="00DC4833" w:rsidRDefault="00FB096E" w:rsidP="00712660">
      <w:pPr>
        <w:pStyle w:val="Style2"/>
        <w:ind w:left="1138"/>
        <w:contextualSpacing w:val="0"/>
        <w:jc w:val="both"/>
      </w:pPr>
      <w:r>
        <w:t xml:space="preserve">The AACC service will adopt Key Performance Indicators (KPIs) for CYPCC transition: </w:t>
      </w:r>
    </w:p>
    <w:p w14:paraId="54701959" w14:textId="1158D3B7" w:rsidR="00DC4833" w:rsidRDefault="005522EB" w:rsidP="00AD335F">
      <w:pPr>
        <w:pStyle w:val="ListParagraph"/>
        <w:numPr>
          <w:ilvl w:val="0"/>
          <w:numId w:val="17"/>
        </w:numPr>
        <w:ind w:left="1560" w:hanging="426"/>
        <w:jc w:val="both"/>
      </w:pPr>
      <w:r>
        <w:t>Evidence in the case management record of n</w:t>
      </w:r>
      <w:r w:rsidR="00DC4833">
        <w:t>otification to CHC at 14 years of age for whom it is likely that adult NHS Continuing Healthcare will be necessary</w:t>
      </w:r>
      <w:r w:rsidR="00FB096E">
        <w:t>;</w:t>
      </w:r>
    </w:p>
    <w:p w14:paraId="192BD2A7" w14:textId="5A0429B7" w:rsidR="005522EB" w:rsidRDefault="005522EB" w:rsidP="00AD335F">
      <w:pPr>
        <w:pStyle w:val="ListParagraph"/>
        <w:numPr>
          <w:ilvl w:val="0"/>
          <w:numId w:val="17"/>
        </w:numPr>
        <w:ind w:left="1560" w:hanging="426"/>
        <w:jc w:val="both"/>
      </w:pPr>
      <w:r>
        <w:t>Evidence of discussions around transition needs, linked to Year 9 Transition Planning and as part of the Education, Health and Care Planning (EHCP).</w:t>
      </w:r>
    </w:p>
    <w:p w14:paraId="6B894FF5" w14:textId="42E7CB2C" w:rsidR="00DC4833" w:rsidRDefault="005522EB" w:rsidP="00AD335F">
      <w:pPr>
        <w:pStyle w:val="ListParagraph"/>
        <w:numPr>
          <w:ilvl w:val="0"/>
          <w:numId w:val="17"/>
        </w:numPr>
        <w:ind w:left="1560" w:hanging="426"/>
        <w:jc w:val="both"/>
      </w:pPr>
      <w:r>
        <w:t>Evidence of f</w:t>
      </w:r>
      <w:r w:rsidR="00DC4833">
        <w:t>ormal referral for screening for CHC at 16 years of age</w:t>
      </w:r>
      <w:r w:rsidR="00FB096E">
        <w:t>;</w:t>
      </w:r>
    </w:p>
    <w:p w14:paraId="0DCD6809" w14:textId="0FE41121" w:rsidR="00DC4833" w:rsidRDefault="00DC4833" w:rsidP="00AD335F">
      <w:pPr>
        <w:pStyle w:val="ListParagraph"/>
        <w:numPr>
          <w:ilvl w:val="0"/>
          <w:numId w:val="17"/>
        </w:numPr>
        <w:ind w:left="1560" w:hanging="426"/>
        <w:jc w:val="both"/>
      </w:pPr>
      <w:r>
        <w:t>At 16-17 years of age, the</w:t>
      </w:r>
      <w:r w:rsidR="00FB096E">
        <w:t>re</w:t>
      </w:r>
      <w:r>
        <w:t xml:space="preserve"> is agreement in principle </w:t>
      </w:r>
      <w:r w:rsidR="00DA606F">
        <w:t xml:space="preserve">at the CYPCC annual review </w:t>
      </w:r>
      <w:r>
        <w:t>that there is evidence of a primary health need</w:t>
      </w:r>
      <w:r w:rsidR="00FB096E">
        <w:t>;</w:t>
      </w:r>
      <w:r>
        <w:t xml:space="preserve"> </w:t>
      </w:r>
    </w:p>
    <w:p w14:paraId="1C1CE8D4" w14:textId="5EF00D01" w:rsidR="00DC4833" w:rsidRDefault="00DC4833" w:rsidP="00AD335F">
      <w:pPr>
        <w:pStyle w:val="ListParagraph"/>
        <w:numPr>
          <w:ilvl w:val="0"/>
          <w:numId w:val="17"/>
        </w:numPr>
        <w:ind w:left="1560" w:hanging="426"/>
        <w:jc w:val="both"/>
      </w:pPr>
      <w:r>
        <w:t xml:space="preserve">Eligibility for CHC </w:t>
      </w:r>
      <w:r w:rsidR="00FB096E">
        <w:t xml:space="preserve">is </w:t>
      </w:r>
      <w:r>
        <w:t xml:space="preserve">determined within 28 days </w:t>
      </w:r>
      <w:r w:rsidR="00FB096E">
        <w:t>after</w:t>
      </w:r>
      <w:r>
        <w:t xml:space="preserve"> a young person</w:t>
      </w:r>
      <w:r w:rsidR="00FB096E">
        <w:t>’</w:t>
      </w:r>
      <w:r>
        <w:t xml:space="preserve">s 17th </w:t>
      </w:r>
      <w:r w:rsidR="00FB096E">
        <w:t>b</w:t>
      </w:r>
      <w:r>
        <w:t>irthday</w:t>
      </w:r>
      <w:r w:rsidR="00FB096E">
        <w:t>.</w:t>
      </w:r>
    </w:p>
    <w:p w14:paraId="24269264" w14:textId="0D15D70A" w:rsidR="0024379C" w:rsidRPr="00AA6F15" w:rsidRDefault="0024379C" w:rsidP="00AA6F15">
      <w:pPr>
        <w:pStyle w:val="Style2"/>
        <w:ind w:left="1138"/>
        <w:contextualSpacing w:val="0"/>
        <w:jc w:val="both"/>
      </w:pPr>
      <w:r w:rsidRPr="00AA6F15">
        <w:t xml:space="preserve">Where a young person remains in Education beyond the age of 18 years, there should be continued partnership working to ensure the continued implementation of an individual’s EHCP with each partner contributing funding according to their statutory responsibilities.  </w:t>
      </w:r>
    </w:p>
    <w:p w14:paraId="5CDC07C3" w14:textId="19E74857" w:rsidR="0024379C" w:rsidRPr="00AA6F15" w:rsidRDefault="0024379C" w:rsidP="00AA6F15">
      <w:pPr>
        <w:pStyle w:val="Style2"/>
        <w:ind w:left="1138"/>
        <w:contextualSpacing w:val="0"/>
        <w:jc w:val="both"/>
      </w:pPr>
      <w:r w:rsidRPr="00AA6F15">
        <w:t xml:space="preserve">If a young person who receives CYPCC has been determined by the relevant NHS Commissioner not to be eligible for a package of CHC, the AACC service will continue to participate in the transition process, in order to ensure an appropriate transfer of responsibilities, including consideration of whether they should be commissioning, funding or providing services towards a joint package of care.  </w:t>
      </w:r>
    </w:p>
    <w:p w14:paraId="0C77496C" w14:textId="58CF03CD" w:rsidR="0024379C" w:rsidRPr="00AA6F15" w:rsidRDefault="0024379C" w:rsidP="00AA6F15">
      <w:pPr>
        <w:pStyle w:val="Style2"/>
        <w:ind w:left="1138"/>
        <w:contextualSpacing w:val="0"/>
        <w:jc w:val="both"/>
      </w:pPr>
      <w:r w:rsidRPr="00AA6F15">
        <w:t xml:space="preserve">The Children and Families Act (2014) requires a young person </w:t>
      </w:r>
      <w:r w:rsidR="000A1566" w:rsidRPr="00AA6F15">
        <w:t>accessing education</w:t>
      </w:r>
      <w:r w:rsidR="004F11C6" w:rsidRPr="00AA6F15">
        <w:t xml:space="preserve"> </w:t>
      </w:r>
      <w:r w:rsidRPr="00AA6F15">
        <w:t>to have an Education, Health and Care Plan up until the age of 25 years</w:t>
      </w:r>
      <w:r w:rsidR="000A1566" w:rsidRPr="00AA6F15">
        <w:t xml:space="preserve"> where an individual needs more support than is available through special educational needs support</w:t>
      </w:r>
      <w:r w:rsidRPr="00AA6F15">
        <w:t xml:space="preserve">. This change in practice requires partner agencies to acknowledge their continued responsibility for the extended transition </w:t>
      </w:r>
      <w:r w:rsidR="00185326" w:rsidRPr="00AA6F15">
        <w:t>period and</w:t>
      </w:r>
      <w:r w:rsidRPr="00AA6F15">
        <w:t xml:space="preserve"> require funding streams to continue. For </w:t>
      </w:r>
      <w:r w:rsidR="00642116" w:rsidRPr="00AA6F15">
        <w:t>example,</w:t>
      </w:r>
      <w:r w:rsidRPr="00AA6F15">
        <w:t xml:space="preserve"> where a young person at 18 has been assessed as eligible for CHC funding but is in receipt of education this remains a jointly funded care package thus should be noted as continuing care funded within adult services.</w:t>
      </w:r>
    </w:p>
    <w:p w14:paraId="1EB09697" w14:textId="18D1B348" w:rsidR="00DC1503" w:rsidRPr="00AA6F15" w:rsidRDefault="0024379C" w:rsidP="00AA6F15">
      <w:pPr>
        <w:pStyle w:val="Style2"/>
        <w:ind w:left="1138"/>
        <w:contextualSpacing w:val="0"/>
        <w:jc w:val="both"/>
      </w:pPr>
      <w:r w:rsidRPr="00AA6F15">
        <w:t>Where a young person receives support via a placement outside the ICB’s boundaries, it is important that, at an early stage in the transition planning process, there is clear agreement between NHS Commissioners as to who the responsible commissioner presently is, and whether this could potentially change</w:t>
      </w:r>
      <w:r w:rsidR="00D022B0" w:rsidRPr="00AA6F15">
        <w:t xml:space="preserve"> in accordance with NHS England’s ‘who Pays? Determining responsibility for NHS payments to providers’ (2020)</w:t>
      </w:r>
      <w:r w:rsidRPr="00AA6F15">
        <w:t>. All parties with current or future responsibilities should be actively represented in the transition planning process. A dispute or lack of clarity over commissioner responsibilities must not result in a lack of provision or risk an individual’s placement.</w:t>
      </w:r>
      <w:r w:rsidR="00DC1503" w:rsidRPr="00AA6F15">
        <w:t xml:space="preserve"> Due consideration must be given by the ICB and LA where a child is ‘looked after‘ by the LA, to ensure appropriate placement and funding responsibilities.</w:t>
      </w:r>
    </w:p>
    <w:p w14:paraId="25454A50" w14:textId="511D53E5" w:rsidR="00436A36" w:rsidRPr="0015255F" w:rsidRDefault="00436A36" w:rsidP="00712660">
      <w:pPr>
        <w:pStyle w:val="Heading3"/>
      </w:pPr>
      <w:bookmarkStart w:id="78" w:name="_Toc110851957"/>
      <w:r>
        <w:t>Joint Funding</w:t>
      </w:r>
      <w:bookmarkEnd w:id="78"/>
      <w:r w:rsidR="00527AF8">
        <w:t xml:space="preserve"> </w:t>
      </w:r>
      <w:r>
        <w:t xml:space="preserve"> </w:t>
      </w:r>
    </w:p>
    <w:p w14:paraId="2129D7EC" w14:textId="2EFBA5F3" w:rsidR="00545095" w:rsidRPr="00AA6F15" w:rsidRDefault="00545095" w:rsidP="00AA6F15">
      <w:pPr>
        <w:pStyle w:val="Style2"/>
        <w:ind w:left="1138"/>
        <w:contextualSpacing w:val="0"/>
        <w:jc w:val="both"/>
      </w:pPr>
      <w:r w:rsidRPr="00AA6F15">
        <w:t>Where a joint</w:t>
      </w:r>
      <w:r w:rsidR="00D022B0" w:rsidRPr="00AA6F15">
        <w:t xml:space="preserve"> or tripart</w:t>
      </w:r>
      <w:r w:rsidRPr="00AA6F15">
        <w:t xml:space="preserve"> care package is agreed for CYPCC a care package funding agreement is signed by all parties following award of the commissioned care package</w:t>
      </w:r>
      <w:r w:rsidR="00D022B0" w:rsidRPr="00AA6F15">
        <w:t xml:space="preserve"> and a lead commissioner is identified. </w:t>
      </w:r>
    </w:p>
    <w:p w14:paraId="7879788A" w14:textId="071A187F" w:rsidR="00436A36" w:rsidRDefault="00C03CA1" w:rsidP="00AA6F15">
      <w:pPr>
        <w:pStyle w:val="Style2"/>
        <w:ind w:left="1138"/>
        <w:contextualSpacing w:val="0"/>
        <w:jc w:val="both"/>
      </w:pPr>
      <w:r>
        <w:t xml:space="preserve">Joint Funding </w:t>
      </w:r>
      <w:r w:rsidR="00545095">
        <w:t xml:space="preserve">for an adult </w:t>
      </w:r>
      <w:r>
        <w:t xml:space="preserve">is not CHC funding. However, the AACC service is the appropriate team to facilitate such arrangements for adults. </w:t>
      </w:r>
      <w:r w:rsidR="00436A36">
        <w:t xml:space="preserve">Where an individual has been assessed as not eligible for CHC, but has identified health need(s) that </w:t>
      </w:r>
      <w:r w:rsidR="00B323CA">
        <w:t xml:space="preserve">in the opinion of the MDT </w:t>
      </w:r>
      <w:r w:rsidR="00436A36">
        <w:t xml:space="preserve">are outside of the LA’s legal ability to provide under the Care Act 2014, it may be appropriate for the NHS to fund that nursing care element as part of a jointly funded package of care. </w:t>
      </w:r>
    </w:p>
    <w:p w14:paraId="19662ECB" w14:textId="0F2A82FA" w:rsidR="00B323CA" w:rsidRDefault="00B323CA" w:rsidP="00AA6F15">
      <w:pPr>
        <w:pStyle w:val="Style2"/>
        <w:ind w:left="1138"/>
        <w:contextualSpacing w:val="0"/>
        <w:jc w:val="both"/>
      </w:pPr>
      <w:r>
        <w:t xml:space="preserve">Verification of the joint funding recommendation will be managed through the </w:t>
      </w:r>
      <w:r w:rsidR="00014222">
        <w:t xml:space="preserve">Joint Agency Verification Panel </w:t>
      </w:r>
      <w:r>
        <w:t>(</w:t>
      </w:r>
      <w:r w:rsidR="00FC1B55">
        <w:t>Section</w:t>
      </w:r>
      <w:r>
        <w:t xml:space="preserve"> 6.1</w:t>
      </w:r>
      <w:r w:rsidR="00014222">
        <w:t>3</w:t>
      </w:r>
      <w:r>
        <w:t xml:space="preserve">). </w:t>
      </w:r>
      <w:r w:rsidR="00436A36">
        <w:t>T</w:t>
      </w:r>
      <w:r>
        <w:t xml:space="preserve">he panel will firstly verify the MDT recommendation. If the ‘not eligible’ recommendation cannot be verified, the MDT </w:t>
      </w:r>
      <w:r w:rsidR="00230DD5">
        <w:t xml:space="preserve">will </w:t>
      </w:r>
      <w:r>
        <w:t xml:space="preserve">be asked to reconvene </w:t>
      </w:r>
      <w:r w:rsidR="00230DD5">
        <w:t xml:space="preserve">to </w:t>
      </w:r>
      <w:r>
        <w:t xml:space="preserve">further review their </w:t>
      </w:r>
      <w:r w:rsidR="00230DD5">
        <w:t xml:space="preserve">PHN test and </w:t>
      </w:r>
      <w:r>
        <w:t xml:space="preserve">recommendation. If the ‘not eligible’ recommendation is verified, but the panel are not able to identify or agree to the health need being outside of the remit of the Care Act 2014, then the case is verified as not eligible to CHC and 28 </w:t>
      </w:r>
      <w:r w:rsidR="00642116">
        <w:t>days’ notice</w:t>
      </w:r>
      <w:r>
        <w:t xml:space="preserve"> will be issued to transfer the case to the LA for ongoing management. </w:t>
      </w:r>
    </w:p>
    <w:p w14:paraId="28166B2E" w14:textId="6CEF6531" w:rsidR="00436A36" w:rsidRDefault="00B323CA" w:rsidP="00AA6F15">
      <w:pPr>
        <w:pStyle w:val="Style2"/>
        <w:ind w:left="1138"/>
        <w:contextualSpacing w:val="0"/>
        <w:jc w:val="both"/>
      </w:pPr>
      <w:r>
        <w:t>Where the MDT recommendation for Joint</w:t>
      </w:r>
      <w:r w:rsidR="00D022B0">
        <w:t>/tripart</w:t>
      </w:r>
      <w:r>
        <w:t xml:space="preserve"> Funding is verified by the panel, </w:t>
      </w:r>
      <w:r w:rsidR="00230DD5">
        <w:t xml:space="preserve">the Care and Support Plan will be used by the panel to identify the exact care provision required to meet that need. The panel will then request to the AACC team to seek costings for those elements of care provision to be NHS-funded and to set up a funding flow to the LA to cover this cost.  </w:t>
      </w:r>
      <w:r>
        <w:t xml:space="preserve">  </w:t>
      </w:r>
    </w:p>
    <w:p w14:paraId="6E40ACB0" w14:textId="370A07BB" w:rsidR="00436A36" w:rsidRDefault="000D34EE" w:rsidP="00AA6F15">
      <w:pPr>
        <w:pStyle w:val="Style2"/>
        <w:ind w:left="1138"/>
        <w:contextualSpacing w:val="0"/>
        <w:jc w:val="both"/>
      </w:pPr>
      <w:r>
        <w:t xml:space="preserve">Commissioning responsibility will be determined according to the most appropriate lead organisation. </w:t>
      </w:r>
      <w:r w:rsidR="00185326">
        <w:t>For CHC , t</w:t>
      </w:r>
      <w:r w:rsidR="00436A36">
        <w:t xml:space="preserve">he overall package of care will generally be commissioned by the LA as the lead commissioner, with an agreed recharge to the ICB for the agreed nursing element. In some exceptional circumstances, it may be more appropriate </w:t>
      </w:r>
      <w:r w:rsidR="00230DD5">
        <w:t xml:space="preserve">for the ICB to commission </w:t>
      </w:r>
      <w:r w:rsidR="00AD689C">
        <w:t>the health-funded element of c</w:t>
      </w:r>
      <w:r w:rsidR="00230DD5">
        <w:t xml:space="preserve">are separately. </w:t>
      </w:r>
    </w:p>
    <w:p w14:paraId="43B56CDE" w14:textId="16D75F63" w:rsidR="00230DD5" w:rsidRDefault="00230DD5" w:rsidP="00AA6F15">
      <w:pPr>
        <w:pStyle w:val="Style2"/>
        <w:ind w:left="1138"/>
        <w:contextualSpacing w:val="0"/>
        <w:jc w:val="both"/>
      </w:pPr>
      <w:r>
        <w:t>Joint</w:t>
      </w:r>
      <w:r w:rsidR="00D022B0">
        <w:t>/tripart</w:t>
      </w:r>
      <w:r>
        <w:t xml:space="preserve"> Funded cases should be reviewed in the same way as for all NHS-funded care packages – at 3 months from initial decision and annually thereafter. The review should be undertaken jointly with the LA. The same principles of care plan review apply as for all reviews. Where it is not possible for the LA to review the case with the AACC team, the care review will progress only for the NHS-funded element</w:t>
      </w:r>
      <w:r w:rsidR="00FB096E">
        <w:t xml:space="preserve"> and the LA advised of the outcome</w:t>
      </w:r>
      <w:r>
        <w:t xml:space="preserve">. </w:t>
      </w:r>
    </w:p>
    <w:p w14:paraId="77B63C32" w14:textId="4B9B0F33" w:rsidR="00034121" w:rsidRPr="0015255F" w:rsidRDefault="00034121" w:rsidP="00712660">
      <w:pPr>
        <w:pStyle w:val="Heading3"/>
      </w:pPr>
      <w:bookmarkStart w:id="79" w:name="_Toc110851958"/>
      <w:r>
        <w:t xml:space="preserve">Discharge to Assess </w:t>
      </w:r>
      <w:r w:rsidR="000A1566">
        <w:t>(CHC only)</w:t>
      </w:r>
      <w:bookmarkEnd w:id="79"/>
    </w:p>
    <w:p w14:paraId="18D9CDC2" w14:textId="31590D5D" w:rsidR="007E57F5" w:rsidRDefault="00373E8C" w:rsidP="00AA6F15">
      <w:pPr>
        <w:pStyle w:val="Style2"/>
        <w:ind w:left="1138"/>
        <w:contextualSpacing w:val="0"/>
        <w:jc w:val="both"/>
      </w:pPr>
      <w:r>
        <w:t xml:space="preserve">Discharge to Assess is not a specific AACC responsibility under the National Frameworks, until the </w:t>
      </w:r>
      <w:r w:rsidR="002148CE">
        <w:t>individual</w:t>
      </w:r>
      <w:r>
        <w:t xml:space="preserve"> is optimised and ready for assessment to establish funding eligibility. </w:t>
      </w:r>
    </w:p>
    <w:p w14:paraId="04020CB6" w14:textId="73AADDFB" w:rsidR="007E57F5" w:rsidRDefault="00373E8C" w:rsidP="00AA6F15">
      <w:pPr>
        <w:pStyle w:val="Style2"/>
        <w:ind w:left="1138"/>
        <w:contextualSpacing w:val="0"/>
        <w:jc w:val="both"/>
      </w:pPr>
      <w:r>
        <w:t xml:space="preserve">The </w:t>
      </w:r>
      <w:r w:rsidR="007A721B">
        <w:t xml:space="preserve">ICB </w:t>
      </w:r>
      <w:r w:rsidR="007E57F5">
        <w:t xml:space="preserve">will delegate authority to the acute hospitals’ </w:t>
      </w:r>
      <w:r w:rsidR="00642116">
        <w:t>Integrated Discharge</w:t>
      </w:r>
      <w:r w:rsidR="007E57F5">
        <w:t xml:space="preserve"> Team (IDT) to broker nursing home placements for D2A in some defined circumstances, at agreed costs</w:t>
      </w:r>
      <w:r w:rsidR="00A02D22">
        <w:t xml:space="preserve"> and recognising that there is no automatic personal choice element to selecting a temporary placement under D2A. </w:t>
      </w:r>
      <w:r w:rsidR="007E57F5">
        <w:t xml:space="preserve">The IDT will notify the AACC service of discharge arrangements made, in order that the AACC service can issue funding agreements and contracts to the relevant care home and monitor the placement until the </w:t>
      </w:r>
      <w:r w:rsidR="002148CE">
        <w:t>individual</w:t>
      </w:r>
      <w:r w:rsidR="007E57F5">
        <w:t xml:space="preserve"> is ready to be considered for future funding streams.   </w:t>
      </w:r>
    </w:p>
    <w:p w14:paraId="1097DA55" w14:textId="052EE8EF" w:rsidR="00373E8C" w:rsidRDefault="007E57F5" w:rsidP="00AA6F15">
      <w:pPr>
        <w:pStyle w:val="Style2"/>
        <w:ind w:left="1138"/>
        <w:contextualSpacing w:val="0"/>
        <w:jc w:val="both"/>
      </w:pPr>
      <w:r>
        <w:t xml:space="preserve">The AACC </w:t>
      </w:r>
      <w:r w:rsidR="00373E8C">
        <w:t>team may assist with the brokerage and commissioning of care home placements, where the pre-hospital discharge assessment indicates that there is a high probability of a need for CHC assessment</w:t>
      </w:r>
      <w:r w:rsidR="00AD689C">
        <w:t xml:space="preserve">, once the </w:t>
      </w:r>
      <w:r w:rsidR="002148CE">
        <w:t>individual</w:t>
      </w:r>
      <w:r>
        <w:t xml:space="preserve">’s condition </w:t>
      </w:r>
      <w:r w:rsidR="00AD689C">
        <w:t xml:space="preserve">is clinically optimised. </w:t>
      </w:r>
      <w:r w:rsidR="00373E8C">
        <w:t xml:space="preserve">The team rely on the Integrated Discharge </w:t>
      </w:r>
      <w:r w:rsidR="00C4620F">
        <w:t>T</w:t>
      </w:r>
      <w:r w:rsidR="00373E8C">
        <w:t xml:space="preserve">eam in the acute hospital to advise of </w:t>
      </w:r>
      <w:r w:rsidR="00C4620F">
        <w:t xml:space="preserve">potential referrals and </w:t>
      </w:r>
      <w:r w:rsidR="00373E8C">
        <w:t xml:space="preserve">readiness for discharge of </w:t>
      </w:r>
      <w:r w:rsidR="002148CE">
        <w:t>individual</w:t>
      </w:r>
      <w:r w:rsidR="00373E8C">
        <w:t xml:space="preserve">s in this cohort.  </w:t>
      </w:r>
    </w:p>
    <w:p w14:paraId="26B4F4B5" w14:textId="72320D23" w:rsidR="00373E8C" w:rsidRDefault="00373E8C" w:rsidP="00AA6F15">
      <w:pPr>
        <w:pStyle w:val="Style2"/>
        <w:ind w:left="1138"/>
        <w:contextualSpacing w:val="0"/>
        <w:jc w:val="both"/>
      </w:pPr>
      <w:r>
        <w:t>The AACC team will, in cases where they have commissioned the recovery placement</w:t>
      </w:r>
      <w:r w:rsidR="007E57F5">
        <w:t xml:space="preserve"> (including for those </w:t>
      </w:r>
      <w:r w:rsidR="002148CE">
        <w:t>individual</w:t>
      </w:r>
      <w:r w:rsidR="007E57F5">
        <w:t>s whose placements are arranged by the IDTs)</w:t>
      </w:r>
      <w:r>
        <w:t xml:space="preserve">, monitor the </w:t>
      </w:r>
      <w:r w:rsidR="002148CE">
        <w:t>individual</w:t>
      </w:r>
      <w:r>
        <w:t xml:space="preserve">’s rehabilitation until they are at a stable state in their presentation, indicating that their ongoing needs are able to be assessed. At this point the AACC service will initiate an internal referral for CHC assessment. </w:t>
      </w:r>
    </w:p>
    <w:p w14:paraId="3FE80A8F" w14:textId="11A7ECBF" w:rsidR="007E57F5" w:rsidRDefault="00373E8C" w:rsidP="00AA6F15">
      <w:pPr>
        <w:pStyle w:val="Style2"/>
        <w:ind w:left="1138"/>
        <w:contextualSpacing w:val="0"/>
        <w:jc w:val="both"/>
      </w:pPr>
      <w:r>
        <w:t>Discharge to Assess commissioning and case management will be clearly and comprehensively recorded on the case management database and cases tracked until</w:t>
      </w:r>
      <w:r w:rsidR="007E57F5">
        <w:t xml:space="preserve"> the individual is clinically optimised. At this stage, </w:t>
      </w:r>
      <w:r>
        <w:t>the</w:t>
      </w:r>
      <w:r w:rsidR="007E57F5">
        <w:t xml:space="preserve"> case moves onto </w:t>
      </w:r>
      <w:r>
        <w:t>the 28</w:t>
      </w:r>
      <w:r w:rsidR="00C4620F">
        <w:t>-</w:t>
      </w:r>
      <w:r>
        <w:t>day referral to decision timeframe for CHC consideration.</w:t>
      </w:r>
      <w:r w:rsidR="00C4620F">
        <w:t xml:space="preserve"> </w:t>
      </w:r>
    </w:p>
    <w:p w14:paraId="2530498B" w14:textId="33D8725B" w:rsidR="00034121" w:rsidRDefault="007E57F5" w:rsidP="00AA6F15">
      <w:pPr>
        <w:pStyle w:val="Style2"/>
        <w:ind w:left="1138"/>
        <w:contextualSpacing w:val="0"/>
        <w:jc w:val="both"/>
      </w:pPr>
      <w:r>
        <w:t xml:space="preserve">It is expected that, in most cases, the </w:t>
      </w:r>
      <w:r w:rsidR="002148CE">
        <w:t>individual</w:t>
      </w:r>
      <w:r>
        <w:t xml:space="preserve"> will be optimised for assessment within 4 weeks of hospital discharge. However, some individuals may take several weeks to become ready for assessment. In these cases, D2A funding will continue until assessment is feasible.   </w:t>
      </w:r>
      <w:r w:rsidR="00373E8C">
        <w:t xml:space="preserve">          </w:t>
      </w:r>
      <w:r w:rsidR="00034121">
        <w:t xml:space="preserve">  </w:t>
      </w:r>
    </w:p>
    <w:p w14:paraId="38D6A5E2" w14:textId="77777777" w:rsidR="00F913CD" w:rsidRPr="0015255F" w:rsidRDefault="00F913CD" w:rsidP="00AA6F15">
      <w:pPr>
        <w:pStyle w:val="Heading2"/>
      </w:pPr>
      <w:bookmarkStart w:id="80" w:name="_Toc84611059"/>
      <w:bookmarkStart w:id="81" w:name="_Toc89326549"/>
      <w:bookmarkStart w:id="82" w:name="_Toc94088230"/>
      <w:bookmarkStart w:id="83" w:name="_Toc110851959"/>
      <w:r w:rsidRPr="0015255F">
        <w:t xml:space="preserve">Monitoring </w:t>
      </w:r>
      <w:r w:rsidRPr="006B3E9C">
        <w:t>Compliance</w:t>
      </w:r>
      <w:bookmarkEnd w:id="80"/>
      <w:bookmarkEnd w:id="81"/>
      <w:bookmarkEnd w:id="82"/>
      <w:bookmarkEnd w:id="83"/>
    </w:p>
    <w:p w14:paraId="14831377" w14:textId="459B2ACA" w:rsidR="00E91A92" w:rsidRPr="0015255F" w:rsidRDefault="00E91A92" w:rsidP="003667B7">
      <w:pPr>
        <w:pStyle w:val="Style1"/>
        <w:numPr>
          <w:ilvl w:val="2"/>
          <w:numId w:val="23"/>
        </w:numPr>
        <w:ind w:left="1134" w:hanging="1134"/>
        <w:jc w:val="both"/>
      </w:pPr>
      <w:r>
        <w:t xml:space="preserve">The ICB has a statutory duty to ensure compliance with the National Frameworks and to remain within annual financial allocations. </w:t>
      </w:r>
    </w:p>
    <w:p w14:paraId="038E6A51" w14:textId="2352B575" w:rsidR="00E91A92" w:rsidRDefault="00E91A92" w:rsidP="003667B7">
      <w:pPr>
        <w:pStyle w:val="Style1"/>
        <w:numPr>
          <w:ilvl w:val="2"/>
          <w:numId w:val="23"/>
        </w:numPr>
        <w:ind w:left="1134" w:hanging="1134"/>
        <w:jc w:val="both"/>
      </w:pPr>
      <w:r>
        <w:t xml:space="preserve">The Finance and </w:t>
      </w:r>
      <w:r w:rsidR="007D5D3C">
        <w:t>Investment</w:t>
      </w:r>
      <w:r>
        <w:t xml:space="preserve"> Committee</w:t>
      </w:r>
      <w:r w:rsidR="004F11C6">
        <w:t xml:space="preserve"> </w:t>
      </w:r>
      <w:r>
        <w:t xml:space="preserve">is responsible for assuring the ICB of compliance with financial management and performance against national and locally set Key Performance Indicators (KPIs), through receipt of regular reports and escalations where required from the AACC services. </w:t>
      </w:r>
    </w:p>
    <w:p w14:paraId="09914DBE" w14:textId="407859EA" w:rsidR="00E91A92" w:rsidRPr="0015255F" w:rsidRDefault="00E91A92" w:rsidP="003667B7">
      <w:pPr>
        <w:pStyle w:val="Style1"/>
        <w:numPr>
          <w:ilvl w:val="2"/>
          <w:numId w:val="23"/>
        </w:numPr>
        <w:ind w:left="1134" w:hanging="1134"/>
        <w:jc w:val="both"/>
      </w:pPr>
      <w:r>
        <w:t xml:space="preserve">The </w:t>
      </w:r>
      <w:r w:rsidR="007D5D3C">
        <w:t>Quality Committee</w:t>
      </w:r>
      <w:r w:rsidR="004F11C6">
        <w:t xml:space="preserve"> </w:t>
      </w:r>
      <w:r>
        <w:t xml:space="preserve">is responsible for assuring the ICB of compliance with aspects of this Policy relating to quality of the AACC service and its application in practice of the National Frameworks, through receipt of regular reports and escalations where required from the AACC services.      </w:t>
      </w:r>
    </w:p>
    <w:p w14:paraId="03671137" w14:textId="77777777" w:rsidR="00F913CD" w:rsidRPr="0015255F" w:rsidRDefault="00F913CD" w:rsidP="003667B7">
      <w:pPr>
        <w:pStyle w:val="Heading2"/>
        <w:numPr>
          <w:ilvl w:val="0"/>
          <w:numId w:val="23"/>
        </w:numPr>
        <w:ind w:left="1134" w:hanging="1134"/>
      </w:pPr>
      <w:bookmarkStart w:id="84" w:name="_Toc84611060"/>
      <w:bookmarkStart w:id="85" w:name="_Toc89326550"/>
      <w:bookmarkStart w:id="86" w:name="_Toc94088231"/>
      <w:bookmarkStart w:id="87" w:name="_Toc110851960"/>
      <w:r w:rsidRPr="0015255F">
        <w:t xml:space="preserve">Staff </w:t>
      </w:r>
      <w:r w:rsidRPr="006B3E9C">
        <w:t>Training</w:t>
      </w:r>
      <w:bookmarkEnd w:id="84"/>
      <w:bookmarkEnd w:id="85"/>
      <w:bookmarkEnd w:id="86"/>
      <w:bookmarkEnd w:id="87"/>
    </w:p>
    <w:p w14:paraId="0337BC48" w14:textId="50FA32F3" w:rsidR="00E91A92" w:rsidRDefault="000F723D" w:rsidP="003667B7">
      <w:pPr>
        <w:pStyle w:val="Style1"/>
        <w:numPr>
          <w:ilvl w:val="1"/>
          <w:numId w:val="23"/>
        </w:numPr>
        <w:ind w:left="1134" w:hanging="1134"/>
        <w:jc w:val="both"/>
      </w:pPr>
      <w:bookmarkStart w:id="88" w:name="_Hlk100743972"/>
      <w:r>
        <w:rPr>
          <w:spacing w:val="-1"/>
        </w:rPr>
        <w:t xml:space="preserve">Please refer to </w:t>
      </w:r>
      <w:r w:rsidRPr="00581CF0">
        <w:rPr>
          <w:spacing w:val="-1"/>
        </w:rPr>
        <w:t xml:space="preserve">Section </w:t>
      </w:r>
      <w:r w:rsidR="00FC1B55" w:rsidRPr="00581CF0">
        <w:rPr>
          <w:spacing w:val="-1"/>
        </w:rPr>
        <w:t>6.4</w:t>
      </w:r>
      <w:r w:rsidR="00581CF0">
        <w:rPr>
          <w:spacing w:val="-1"/>
        </w:rPr>
        <w:t>:</w:t>
      </w:r>
      <w:r>
        <w:rPr>
          <w:spacing w:val="-1"/>
        </w:rPr>
        <w:t xml:space="preserve"> People and Skills. </w:t>
      </w:r>
    </w:p>
    <w:p w14:paraId="7DF6B752" w14:textId="19F2F4DF" w:rsidR="00F913CD" w:rsidRPr="0015255F" w:rsidRDefault="00F913CD" w:rsidP="003667B7">
      <w:pPr>
        <w:pStyle w:val="Heading2"/>
        <w:numPr>
          <w:ilvl w:val="0"/>
          <w:numId w:val="23"/>
        </w:numPr>
        <w:ind w:left="1134" w:hanging="1134"/>
      </w:pPr>
      <w:bookmarkStart w:id="89" w:name="_Toc84611061"/>
      <w:bookmarkStart w:id="90" w:name="_Toc89326551"/>
      <w:bookmarkStart w:id="91" w:name="_Toc94088232"/>
      <w:bookmarkStart w:id="92" w:name="_Toc110851961"/>
      <w:bookmarkEnd w:id="88"/>
      <w:r w:rsidRPr="0015255F">
        <w:t xml:space="preserve">Arrangements </w:t>
      </w:r>
      <w:r w:rsidR="00642116" w:rsidRPr="0015255F">
        <w:t>for</w:t>
      </w:r>
      <w:r w:rsidRPr="0015255F">
        <w:t xml:space="preserve"> Review</w:t>
      </w:r>
      <w:bookmarkEnd w:id="89"/>
      <w:bookmarkEnd w:id="90"/>
      <w:bookmarkEnd w:id="91"/>
      <w:bookmarkEnd w:id="92"/>
    </w:p>
    <w:p w14:paraId="7CE3CD4E" w14:textId="77777777" w:rsidR="00F913CD" w:rsidRPr="0015255F" w:rsidRDefault="00F913CD" w:rsidP="003667B7">
      <w:pPr>
        <w:pStyle w:val="Style1"/>
        <w:numPr>
          <w:ilvl w:val="1"/>
          <w:numId w:val="23"/>
        </w:numPr>
        <w:ind w:left="1134" w:hanging="1134"/>
        <w:jc w:val="both"/>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3667B7">
      <w:pPr>
        <w:pStyle w:val="Style1"/>
        <w:numPr>
          <w:ilvl w:val="1"/>
          <w:numId w:val="23"/>
        </w:numPr>
        <w:ind w:left="1134" w:hanging="1134"/>
        <w:jc w:val="both"/>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93" w:name="_Toc84611062"/>
    </w:p>
    <w:p w14:paraId="4D2967FC" w14:textId="1C8AAEF9" w:rsidR="00F913CD" w:rsidRPr="0015255F" w:rsidRDefault="00F913CD" w:rsidP="003667B7">
      <w:pPr>
        <w:pStyle w:val="Heading2"/>
        <w:numPr>
          <w:ilvl w:val="0"/>
          <w:numId w:val="23"/>
        </w:numPr>
        <w:ind w:left="1134" w:hanging="1134"/>
      </w:pPr>
      <w:bookmarkStart w:id="94" w:name="_Toc89326552"/>
      <w:bookmarkStart w:id="95" w:name="_Toc94088233"/>
      <w:bookmarkStart w:id="96" w:name="_Toc110851962"/>
      <w:bookmarkEnd w:id="93"/>
      <w:r w:rsidRPr="0015255F">
        <w:t xml:space="preserve">Associated Policies, Guidance </w:t>
      </w:r>
      <w:r w:rsidR="00642116" w:rsidRPr="0015255F">
        <w:t>and</w:t>
      </w:r>
      <w:r w:rsidRPr="0015255F">
        <w:t xml:space="preserve"> Documents</w:t>
      </w:r>
      <w:bookmarkEnd w:id="94"/>
      <w:bookmarkEnd w:id="95"/>
      <w:bookmarkEnd w:id="96"/>
    </w:p>
    <w:p w14:paraId="3A0098BE" w14:textId="77777777" w:rsidR="002501B2" w:rsidRPr="007C13E6" w:rsidRDefault="002501B2" w:rsidP="002501B2">
      <w:pPr>
        <w:pStyle w:val="ListParagraph"/>
        <w:rPr>
          <w:color w:val="auto"/>
        </w:rPr>
      </w:pPr>
      <w:bookmarkStart w:id="97" w:name="_Hlk95117246"/>
      <w:r>
        <w:rPr>
          <w:color w:val="auto"/>
        </w:rPr>
        <w:t>MSEICB020 Lone Worker Policy</w:t>
      </w:r>
    </w:p>
    <w:p w14:paraId="43756EF7" w14:textId="47B64E55" w:rsidR="00E91A92" w:rsidRDefault="002501B2" w:rsidP="00390B99">
      <w:pPr>
        <w:pStyle w:val="ListParagraph"/>
        <w:rPr>
          <w:color w:val="auto"/>
        </w:rPr>
      </w:pPr>
      <w:r>
        <w:rPr>
          <w:color w:val="auto"/>
        </w:rPr>
        <w:t xml:space="preserve">MSEICB069 </w:t>
      </w:r>
      <w:r w:rsidR="00E91A92" w:rsidRPr="007C13E6">
        <w:rPr>
          <w:color w:val="auto"/>
        </w:rPr>
        <w:t>Personal</w:t>
      </w:r>
      <w:r w:rsidR="00390B99" w:rsidRPr="007C13E6">
        <w:rPr>
          <w:color w:val="auto"/>
        </w:rPr>
        <w:t xml:space="preserve"> </w:t>
      </w:r>
      <w:r w:rsidR="00E91A92" w:rsidRPr="007C13E6">
        <w:rPr>
          <w:color w:val="auto"/>
        </w:rPr>
        <w:t>Health Budgets</w:t>
      </w:r>
      <w:r w:rsidR="00390B99" w:rsidRPr="007C13E6">
        <w:rPr>
          <w:color w:val="auto"/>
        </w:rPr>
        <w:t>: Ethos, Practice and Guidance</w:t>
      </w:r>
      <w:r w:rsidR="00E91A92" w:rsidRPr="007C13E6">
        <w:rPr>
          <w:color w:val="auto"/>
        </w:rPr>
        <w:t xml:space="preserve"> Policy</w:t>
      </w:r>
    </w:p>
    <w:p w14:paraId="2119EF0F" w14:textId="77777777" w:rsidR="002501B2" w:rsidRDefault="002501B2" w:rsidP="00390B99">
      <w:pPr>
        <w:pStyle w:val="ListParagraph"/>
        <w:rPr>
          <w:color w:val="auto"/>
        </w:rPr>
      </w:pPr>
      <w:r>
        <w:rPr>
          <w:color w:val="auto"/>
        </w:rPr>
        <w:t xml:space="preserve">MSEICB063 </w:t>
      </w:r>
      <w:r w:rsidRPr="002501B2">
        <w:rPr>
          <w:color w:val="auto"/>
        </w:rPr>
        <w:t>Safeguarding Adults and Children (including Children in Care/Looked After Children) Policy</w:t>
      </w:r>
    </w:p>
    <w:p w14:paraId="0E87CDE0" w14:textId="466303CA" w:rsidR="009E5B43" w:rsidRPr="007C13E6" w:rsidRDefault="002501B2" w:rsidP="00390B99">
      <w:pPr>
        <w:pStyle w:val="ListParagraph"/>
        <w:rPr>
          <w:color w:val="auto"/>
        </w:rPr>
      </w:pPr>
      <w:r>
        <w:rPr>
          <w:color w:val="auto"/>
        </w:rPr>
        <w:t xml:space="preserve">MSEICB066 </w:t>
      </w:r>
      <w:r w:rsidRPr="002501B2">
        <w:rPr>
          <w:color w:val="auto"/>
        </w:rPr>
        <w:t>Safeguarding Children &amp; Adults at risk of Domestic Abuse Policy</w:t>
      </w:r>
    </w:p>
    <w:p w14:paraId="7AD5144C" w14:textId="0D334553" w:rsidR="002501B2" w:rsidRDefault="002501B2" w:rsidP="00390B99">
      <w:pPr>
        <w:pStyle w:val="ListParagraph"/>
        <w:rPr>
          <w:color w:val="auto"/>
        </w:rPr>
      </w:pPr>
      <w:r>
        <w:rPr>
          <w:color w:val="auto"/>
        </w:rPr>
        <w:t xml:space="preserve">MSEICB073 </w:t>
      </w:r>
      <w:r w:rsidRPr="002501B2">
        <w:rPr>
          <w:color w:val="auto"/>
        </w:rPr>
        <w:t>Mental Capacity Act 2005 and Deprivation of Liberty Policy</w:t>
      </w:r>
    </w:p>
    <w:p w14:paraId="399353E0" w14:textId="453F4BE1" w:rsidR="00E75BDE" w:rsidRPr="007C13E6" w:rsidRDefault="002501B2" w:rsidP="002501B2">
      <w:pPr>
        <w:pStyle w:val="ListParagraph"/>
      </w:pPr>
      <w:r>
        <w:t xml:space="preserve">MSEICB078 </w:t>
      </w:r>
      <w:r w:rsidRPr="002501B2">
        <w:t>Defining Boundaries between NHS and Private Healthcare</w:t>
      </w:r>
    </w:p>
    <w:p w14:paraId="41F333A9" w14:textId="528FF49B" w:rsidR="00E91A92" w:rsidRDefault="00E91A92" w:rsidP="003667B7">
      <w:pPr>
        <w:pStyle w:val="Heading2"/>
        <w:numPr>
          <w:ilvl w:val="0"/>
          <w:numId w:val="23"/>
        </w:numPr>
        <w:ind w:left="1134" w:hanging="1134"/>
      </w:pPr>
      <w:bookmarkStart w:id="98" w:name="_Toc89951402"/>
      <w:bookmarkStart w:id="99" w:name="_Toc110851963"/>
      <w:bookmarkEnd w:id="97"/>
      <w:r w:rsidRPr="0015255F">
        <w:t>References</w:t>
      </w:r>
      <w:bookmarkEnd w:id="98"/>
      <w:bookmarkEnd w:id="99"/>
    </w:p>
    <w:p w14:paraId="79BA8B2E" w14:textId="77777777" w:rsidR="008B2D55" w:rsidRPr="004012C1" w:rsidRDefault="008B2D55" w:rsidP="00E75BDE">
      <w:pPr>
        <w:jc w:val="both"/>
        <w:rPr>
          <w:rFonts w:ascii="Arial" w:hAnsi="Arial" w:cs="Arial"/>
        </w:rPr>
      </w:pPr>
      <w:r w:rsidRPr="004012C1">
        <w:rPr>
          <w:rFonts w:ascii="Arial" w:hAnsi="Arial" w:cs="Arial"/>
        </w:rPr>
        <w:t>Care Act</w:t>
      </w:r>
      <w:r w:rsidRPr="004012C1">
        <w:rPr>
          <w:rFonts w:ascii="Arial" w:hAnsi="Arial" w:cs="Arial"/>
          <w:spacing w:val="-2"/>
        </w:rPr>
        <w:t xml:space="preserve"> </w:t>
      </w:r>
      <w:r w:rsidRPr="004012C1">
        <w:rPr>
          <w:rFonts w:ascii="Arial" w:hAnsi="Arial" w:cs="Arial"/>
          <w:spacing w:val="-1"/>
        </w:rPr>
        <w:t>2014</w:t>
      </w:r>
    </w:p>
    <w:p w14:paraId="047A4EF0" w14:textId="77777777" w:rsidR="008B2D55" w:rsidRPr="004012C1" w:rsidRDefault="008B2D55" w:rsidP="00E75BDE">
      <w:pPr>
        <w:jc w:val="both"/>
        <w:rPr>
          <w:rFonts w:ascii="Arial" w:hAnsi="Arial" w:cs="Arial"/>
        </w:rPr>
      </w:pPr>
      <w:r w:rsidRPr="004012C1">
        <w:rPr>
          <w:rFonts w:ascii="Arial" w:hAnsi="Arial" w:cs="Arial"/>
        </w:rPr>
        <w:t>Care Standards Act (2000) Domiciliary Care National Minimum Standards Regulations</w:t>
      </w:r>
    </w:p>
    <w:p w14:paraId="6332FDF7" w14:textId="77777777" w:rsidR="008B2D55" w:rsidRPr="004012C1" w:rsidRDefault="008B2D55" w:rsidP="00E75BDE">
      <w:pPr>
        <w:jc w:val="both"/>
        <w:rPr>
          <w:rFonts w:ascii="Arial" w:hAnsi="Arial" w:cs="Arial"/>
        </w:rPr>
      </w:pPr>
      <w:r w:rsidRPr="004012C1">
        <w:rPr>
          <w:rFonts w:ascii="Arial" w:hAnsi="Arial" w:cs="Arial"/>
        </w:rPr>
        <w:t xml:space="preserve">Children Act 2004 </w:t>
      </w:r>
    </w:p>
    <w:p w14:paraId="3645D016" w14:textId="77777777" w:rsidR="008B2D55" w:rsidRPr="004012C1" w:rsidRDefault="008B2D55" w:rsidP="00E75BDE">
      <w:pPr>
        <w:jc w:val="both"/>
        <w:rPr>
          <w:rFonts w:ascii="Arial" w:hAnsi="Arial" w:cs="Arial"/>
        </w:rPr>
      </w:pPr>
      <w:r w:rsidRPr="004012C1">
        <w:rPr>
          <w:rFonts w:ascii="Arial" w:hAnsi="Arial" w:cs="Arial"/>
          <w:color w:val="000000"/>
        </w:rPr>
        <w:t>Children and Families Act 2014</w:t>
      </w:r>
    </w:p>
    <w:p w14:paraId="2F4CB04A" w14:textId="77777777" w:rsidR="008B2D55" w:rsidRPr="004012C1" w:rsidRDefault="008B2D55" w:rsidP="00E75BDE">
      <w:pPr>
        <w:jc w:val="both"/>
        <w:rPr>
          <w:rFonts w:ascii="Arial" w:hAnsi="Arial" w:cs="Arial"/>
        </w:rPr>
      </w:pPr>
      <w:r w:rsidRPr="004012C1">
        <w:rPr>
          <w:rFonts w:ascii="Arial" w:hAnsi="Arial" w:cs="Arial"/>
        </w:rPr>
        <w:t>Continuing Healthcare Maturity Framework (Version 1.1, March 2021)</w:t>
      </w:r>
    </w:p>
    <w:p w14:paraId="2C13C79F" w14:textId="77777777" w:rsidR="008B2D55" w:rsidRPr="004012C1" w:rsidRDefault="008B2D55" w:rsidP="00E75BDE">
      <w:pPr>
        <w:jc w:val="both"/>
        <w:rPr>
          <w:rFonts w:ascii="Arial" w:hAnsi="Arial" w:cs="Arial"/>
        </w:rPr>
      </w:pPr>
      <w:r w:rsidRPr="004012C1">
        <w:rPr>
          <w:rFonts w:ascii="Arial" w:hAnsi="Arial" w:cs="Arial"/>
        </w:rPr>
        <w:t xml:space="preserve">DCB1605 Accessible Information: Implementation Guidance v1.1 (NHSE, August 2017) </w:t>
      </w:r>
    </w:p>
    <w:p w14:paraId="0DDDF635" w14:textId="18E6037A" w:rsidR="008B2D55" w:rsidRPr="004012C1" w:rsidRDefault="008B2D55" w:rsidP="00E75BDE">
      <w:pPr>
        <w:jc w:val="both"/>
        <w:rPr>
          <w:rFonts w:ascii="Arial" w:hAnsi="Arial" w:cs="Arial"/>
        </w:rPr>
      </w:pPr>
      <w:r w:rsidRPr="004012C1">
        <w:rPr>
          <w:rFonts w:ascii="Arial" w:hAnsi="Arial" w:cs="Arial"/>
        </w:rPr>
        <w:t xml:space="preserve">DCB1605 Accessible Information: Specification v1.1 (NHSE, August 2017) </w:t>
      </w:r>
    </w:p>
    <w:p w14:paraId="477B45DE" w14:textId="77777777" w:rsidR="005E62A4" w:rsidRDefault="005E62A4" w:rsidP="00E75BDE">
      <w:pPr>
        <w:jc w:val="both"/>
        <w:rPr>
          <w:rFonts w:ascii="Arial" w:hAnsi="Arial" w:cs="Arial"/>
        </w:rPr>
      </w:pPr>
      <w:r>
        <w:rPr>
          <w:rFonts w:ascii="Arial" w:hAnsi="Arial" w:cs="Arial"/>
        </w:rPr>
        <w:t>Equality Act 2010</w:t>
      </w:r>
    </w:p>
    <w:p w14:paraId="173B01C2" w14:textId="3B564397" w:rsidR="008B2D55" w:rsidRPr="004012C1" w:rsidRDefault="008B2D55" w:rsidP="00E75BDE">
      <w:pPr>
        <w:jc w:val="both"/>
        <w:rPr>
          <w:rFonts w:ascii="Arial" w:hAnsi="Arial" w:cs="Arial"/>
        </w:rPr>
      </w:pPr>
      <w:r w:rsidRPr="004B436F">
        <w:rPr>
          <w:rFonts w:ascii="Arial" w:hAnsi="Arial" w:cs="Arial"/>
        </w:rPr>
        <w:t xml:space="preserve">Health and Care </w:t>
      </w:r>
      <w:r w:rsidR="004B436F" w:rsidRPr="004B436F">
        <w:rPr>
          <w:rFonts w:ascii="Arial" w:hAnsi="Arial" w:cs="Arial"/>
        </w:rPr>
        <w:t>Act 2022</w:t>
      </w:r>
    </w:p>
    <w:p w14:paraId="4DBF3349" w14:textId="77777777" w:rsidR="008B2D55" w:rsidRPr="004012C1" w:rsidRDefault="008B2D55" w:rsidP="00E75BDE">
      <w:pPr>
        <w:jc w:val="both"/>
        <w:rPr>
          <w:rFonts w:ascii="Arial" w:hAnsi="Arial" w:cs="Arial"/>
        </w:rPr>
      </w:pPr>
      <w:r w:rsidRPr="004012C1">
        <w:rPr>
          <w:rFonts w:ascii="Arial" w:hAnsi="Arial" w:cs="Arial"/>
        </w:rPr>
        <w:t>Hospital Discharge and Community Support: Policy and Operating Model (Oct 2021)</w:t>
      </w:r>
    </w:p>
    <w:p w14:paraId="5E3EA297" w14:textId="2CAE1D8B" w:rsidR="00E75BDE" w:rsidRDefault="00587C7F" w:rsidP="00E75BDE">
      <w:pPr>
        <w:rPr>
          <w:rFonts w:cstheme="minorHAnsi"/>
          <w:color w:val="000000"/>
          <w:shd w:val="clear" w:color="auto" w:fill="FFFFFF"/>
        </w:rPr>
      </w:pPr>
      <w:hyperlink r:id="rId12" w:history="1">
        <w:r w:rsidR="00E75BDE" w:rsidRPr="00E52432">
          <w:rPr>
            <w:rStyle w:val="Hyperlink"/>
            <w:rFonts w:cstheme="minorHAnsi"/>
          </w:rPr>
          <w:t xml:space="preserve">How to manage discrimination from </w:t>
        </w:r>
        <w:r w:rsidR="00E75BDE">
          <w:rPr>
            <w:rStyle w:val="Hyperlink"/>
            <w:rFonts w:cstheme="minorHAnsi"/>
          </w:rPr>
          <w:t>individual</w:t>
        </w:r>
        <w:r w:rsidR="00E75BDE" w:rsidRPr="00E52432">
          <w:rPr>
            <w:rStyle w:val="Hyperlink"/>
            <w:rFonts w:cstheme="minorHAnsi"/>
          </w:rPr>
          <w:t>s and their guardians</w:t>
        </w:r>
        <w:r w:rsidR="00E75BDE">
          <w:rPr>
            <w:rStyle w:val="Hyperlink"/>
            <w:rFonts w:cstheme="minorHAnsi"/>
          </w:rPr>
          <w:t xml:space="preserve"> </w:t>
        </w:r>
        <w:r w:rsidR="00E75BDE" w:rsidRPr="00E52432">
          <w:rPr>
            <w:rStyle w:val="Hyperlink"/>
            <w:rFonts w:cstheme="minorHAnsi"/>
          </w:rPr>
          <w:t>/</w:t>
        </w:r>
        <w:r w:rsidR="00E75BDE">
          <w:rPr>
            <w:rStyle w:val="Hyperlink"/>
            <w:rFonts w:cstheme="minorHAnsi"/>
          </w:rPr>
          <w:t xml:space="preserve"> </w:t>
        </w:r>
        <w:r w:rsidR="00E75BDE" w:rsidRPr="00E52432">
          <w:rPr>
            <w:rStyle w:val="Hyperlink"/>
            <w:rFonts w:cstheme="minorHAnsi"/>
          </w:rPr>
          <w:t>relatives</w:t>
        </w:r>
      </w:hyperlink>
      <w:r w:rsidR="00E75BDE" w:rsidRPr="00E52432">
        <w:rPr>
          <w:rFonts w:cstheme="minorHAnsi"/>
        </w:rPr>
        <w:t xml:space="preserve"> (British Medical Association, 2022)</w:t>
      </w:r>
    </w:p>
    <w:p w14:paraId="3B1F601F" w14:textId="77777777" w:rsidR="008B2D55" w:rsidRPr="004012C1" w:rsidRDefault="008B2D55" w:rsidP="00E75BDE">
      <w:pPr>
        <w:jc w:val="both"/>
        <w:rPr>
          <w:rFonts w:ascii="Arial" w:hAnsi="Arial" w:cs="Arial"/>
        </w:rPr>
      </w:pPr>
      <w:r w:rsidRPr="004012C1">
        <w:rPr>
          <w:rFonts w:ascii="Arial" w:hAnsi="Arial" w:cs="Arial"/>
        </w:rPr>
        <w:t>Local Resolution Best Practice Guidance: NHS Continuing Healthcare (NHSE &amp; NHS Improvement, March 2021)</w:t>
      </w:r>
    </w:p>
    <w:p w14:paraId="3DB74E9E" w14:textId="77777777" w:rsidR="008B2D55" w:rsidRPr="004012C1" w:rsidRDefault="008B2D55" w:rsidP="00E75BDE">
      <w:pPr>
        <w:jc w:val="both"/>
        <w:rPr>
          <w:rFonts w:ascii="Arial" w:hAnsi="Arial" w:cs="Arial"/>
        </w:rPr>
      </w:pPr>
      <w:r w:rsidRPr="004012C1">
        <w:rPr>
          <w:rFonts w:ascii="Arial" w:hAnsi="Arial" w:cs="Arial"/>
        </w:rPr>
        <w:t>Mental Health Act (1983; 2007)</w:t>
      </w:r>
    </w:p>
    <w:p w14:paraId="3C4FD692" w14:textId="653FC47B" w:rsidR="008B2D55" w:rsidRPr="004012C1" w:rsidRDefault="008B2D55" w:rsidP="00E75BDE">
      <w:pPr>
        <w:jc w:val="both"/>
        <w:rPr>
          <w:rFonts w:ascii="Arial" w:hAnsi="Arial" w:cs="Arial"/>
        </w:rPr>
      </w:pPr>
      <w:r w:rsidRPr="004012C1">
        <w:rPr>
          <w:rFonts w:ascii="Arial" w:hAnsi="Arial" w:cs="Arial"/>
        </w:rPr>
        <w:t>National Framework</w:t>
      </w:r>
      <w:r w:rsidRPr="004012C1">
        <w:rPr>
          <w:rFonts w:ascii="Arial" w:hAnsi="Arial" w:cs="Arial"/>
          <w:spacing w:val="-3"/>
        </w:rPr>
        <w:t xml:space="preserve"> </w:t>
      </w:r>
      <w:r w:rsidRPr="004012C1">
        <w:rPr>
          <w:rFonts w:ascii="Arial" w:hAnsi="Arial" w:cs="Arial"/>
        </w:rPr>
        <w:t>for NHS Continuing Healthcare</w:t>
      </w:r>
      <w:r w:rsidRPr="004012C1">
        <w:rPr>
          <w:rFonts w:ascii="Arial" w:hAnsi="Arial" w:cs="Arial"/>
          <w:spacing w:val="2"/>
        </w:rPr>
        <w:t xml:space="preserve"> </w:t>
      </w:r>
      <w:r w:rsidRPr="004012C1">
        <w:rPr>
          <w:rFonts w:ascii="Arial" w:hAnsi="Arial" w:cs="Arial"/>
        </w:rPr>
        <w:t>and NHS Funded Nursing</w:t>
      </w:r>
      <w:r w:rsidRPr="004012C1">
        <w:rPr>
          <w:rFonts w:ascii="Arial" w:hAnsi="Arial" w:cs="Arial"/>
          <w:spacing w:val="47"/>
        </w:rPr>
        <w:t xml:space="preserve"> </w:t>
      </w:r>
      <w:r w:rsidRPr="004012C1">
        <w:rPr>
          <w:rFonts w:ascii="Arial" w:hAnsi="Arial" w:cs="Arial"/>
        </w:rPr>
        <w:t>Care (</w:t>
      </w:r>
      <w:r w:rsidR="004B436F">
        <w:rPr>
          <w:rFonts w:ascii="Arial" w:hAnsi="Arial" w:cs="Arial"/>
        </w:rPr>
        <w:t>July 2022</w:t>
      </w:r>
      <w:r w:rsidRPr="004012C1">
        <w:rPr>
          <w:rFonts w:ascii="Arial" w:hAnsi="Arial" w:cs="Arial"/>
        </w:rPr>
        <w:t>)</w:t>
      </w:r>
    </w:p>
    <w:p w14:paraId="5DE76A57" w14:textId="77777777" w:rsidR="008B2D55" w:rsidRPr="004012C1" w:rsidRDefault="008B2D55" w:rsidP="00E75BDE">
      <w:pPr>
        <w:jc w:val="both"/>
        <w:rPr>
          <w:rFonts w:ascii="Arial" w:hAnsi="Arial" w:cs="Arial"/>
        </w:rPr>
      </w:pPr>
      <w:r w:rsidRPr="004012C1">
        <w:rPr>
          <w:rFonts w:ascii="Arial" w:hAnsi="Arial" w:cs="Arial"/>
        </w:rPr>
        <w:t>National Health</w:t>
      </w:r>
      <w:r w:rsidRPr="004012C1">
        <w:rPr>
          <w:rFonts w:ascii="Arial" w:hAnsi="Arial" w:cs="Arial"/>
          <w:spacing w:val="-2"/>
        </w:rPr>
        <w:t xml:space="preserve"> </w:t>
      </w:r>
      <w:r w:rsidRPr="004012C1">
        <w:rPr>
          <w:rFonts w:ascii="Arial" w:hAnsi="Arial" w:cs="Arial"/>
        </w:rPr>
        <w:t>Service Commissioning</w:t>
      </w:r>
      <w:r w:rsidRPr="004012C1">
        <w:rPr>
          <w:rFonts w:ascii="Arial" w:hAnsi="Arial" w:cs="Arial"/>
          <w:spacing w:val="-3"/>
        </w:rPr>
        <w:t xml:space="preserve"> </w:t>
      </w:r>
      <w:r w:rsidRPr="004012C1">
        <w:rPr>
          <w:rFonts w:ascii="Arial" w:hAnsi="Arial" w:cs="Arial"/>
        </w:rPr>
        <w:t>Board</w:t>
      </w:r>
      <w:r w:rsidRPr="004012C1">
        <w:rPr>
          <w:rFonts w:ascii="Arial" w:hAnsi="Arial" w:cs="Arial"/>
          <w:spacing w:val="-2"/>
        </w:rPr>
        <w:t xml:space="preserve"> </w:t>
      </w:r>
      <w:r w:rsidRPr="004012C1">
        <w:rPr>
          <w:rFonts w:ascii="Arial" w:hAnsi="Arial" w:cs="Arial"/>
        </w:rPr>
        <w:t>and</w:t>
      </w:r>
      <w:r w:rsidRPr="004012C1">
        <w:rPr>
          <w:rFonts w:ascii="Arial" w:hAnsi="Arial" w:cs="Arial"/>
          <w:spacing w:val="-2"/>
        </w:rPr>
        <w:t xml:space="preserve"> </w:t>
      </w:r>
      <w:r w:rsidRPr="004012C1">
        <w:rPr>
          <w:rFonts w:ascii="Arial" w:hAnsi="Arial" w:cs="Arial"/>
        </w:rPr>
        <w:t>Clinical Commissioning</w:t>
      </w:r>
      <w:r w:rsidRPr="004012C1">
        <w:rPr>
          <w:rFonts w:ascii="Arial" w:hAnsi="Arial" w:cs="Arial"/>
          <w:spacing w:val="63"/>
        </w:rPr>
        <w:t xml:space="preserve"> </w:t>
      </w:r>
      <w:r w:rsidRPr="004012C1">
        <w:rPr>
          <w:rFonts w:ascii="Arial" w:hAnsi="Arial" w:cs="Arial"/>
        </w:rPr>
        <w:t>Groups (Responsibilities and</w:t>
      </w:r>
      <w:r w:rsidRPr="004012C1">
        <w:rPr>
          <w:rFonts w:ascii="Arial" w:hAnsi="Arial" w:cs="Arial"/>
          <w:spacing w:val="-2"/>
        </w:rPr>
        <w:t xml:space="preserve"> </w:t>
      </w:r>
      <w:r w:rsidRPr="004012C1">
        <w:rPr>
          <w:rFonts w:ascii="Arial" w:hAnsi="Arial" w:cs="Arial"/>
        </w:rPr>
        <w:t>Standing Rules)</w:t>
      </w:r>
      <w:r w:rsidRPr="004012C1">
        <w:rPr>
          <w:rFonts w:ascii="Arial" w:hAnsi="Arial" w:cs="Arial"/>
          <w:spacing w:val="-4"/>
        </w:rPr>
        <w:t xml:space="preserve"> </w:t>
      </w:r>
      <w:r w:rsidRPr="004012C1">
        <w:rPr>
          <w:rFonts w:ascii="Arial" w:hAnsi="Arial" w:cs="Arial"/>
        </w:rPr>
        <w:t>Regulations 2012</w:t>
      </w:r>
    </w:p>
    <w:p w14:paraId="11E77A81" w14:textId="77777777" w:rsidR="008B2D55" w:rsidRPr="004012C1" w:rsidRDefault="008B2D55" w:rsidP="00E75BDE">
      <w:pPr>
        <w:jc w:val="both"/>
        <w:rPr>
          <w:rFonts w:ascii="Arial" w:hAnsi="Arial" w:cs="Arial"/>
        </w:rPr>
      </w:pPr>
      <w:r w:rsidRPr="004012C1">
        <w:rPr>
          <w:rFonts w:ascii="Arial" w:hAnsi="Arial" w:cs="Arial"/>
        </w:rPr>
        <w:t xml:space="preserve">NHS Continuing Healthcare Refreshed Redress Guidance (NHSE, 2015) </w:t>
      </w:r>
    </w:p>
    <w:p w14:paraId="785353BE" w14:textId="77777777" w:rsidR="008B2D55" w:rsidRPr="004012C1" w:rsidRDefault="008B2D55" w:rsidP="00E75BDE">
      <w:pPr>
        <w:jc w:val="both"/>
        <w:rPr>
          <w:rFonts w:ascii="Arial" w:hAnsi="Arial" w:cs="Arial"/>
        </w:rPr>
      </w:pPr>
      <w:r w:rsidRPr="004012C1">
        <w:rPr>
          <w:rFonts w:ascii="Arial" w:hAnsi="Arial" w:cs="Arial"/>
        </w:rPr>
        <w:t>NHS Long-Term Plan v1.2 (August 2019)</w:t>
      </w:r>
    </w:p>
    <w:p w14:paraId="2FC098A9" w14:textId="12B38B30" w:rsidR="008B2D55" w:rsidRPr="004012C1" w:rsidRDefault="008B2D55" w:rsidP="00E75BDE">
      <w:pPr>
        <w:jc w:val="both"/>
        <w:rPr>
          <w:rFonts w:ascii="Arial" w:hAnsi="Arial" w:cs="Arial"/>
        </w:rPr>
      </w:pPr>
      <w:r w:rsidRPr="004012C1">
        <w:rPr>
          <w:rFonts w:ascii="Arial" w:hAnsi="Arial" w:cs="Arial"/>
        </w:rPr>
        <w:t xml:space="preserve">Proactive guidance on the Safe and Supportive observation of </w:t>
      </w:r>
      <w:r w:rsidR="002148CE">
        <w:rPr>
          <w:rFonts w:ascii="Arial" w:hAnsi="Arial" w:cs="Arial"/>
        </w:rPr>
        <w:t>Individual</w:t>
      </w:r>
      <w:r w:rsidRPr="004012C1">
        <w:rPr>
          <w:rFonts w:ascii="Arial" w:hAnsi="Arial" w:cs="Arial"/>
        </w:rPr>
        <w:t>s at risk (Standing Nursing &amp; Midwifery Advisory Committee [SNMAC], 1999)</w:t>
      </w:r>
    </w:p>
    <w:p w14:paraId="0AAD4FF5" w14:textId="77777777" w:rsidR="008B2D55" w:rsidRPr="004012C1" w:rsidRDefault="008B2D55" w:rsidP="00E75BDE">
      <w:pPr>
        <w:jc w:val="both"/>
        <w:rPr>
          <w:rFonts w:ascii="Arial" w:hAnsi="Arial" w:cs="Arial"/>
        </w:rPr>
      </w:pPr>
      <w:r w:rsidRPr="004012C1">
        <w:rPr>
          <w:rFonts w:ascii="Arial" w:hAnsi="Arial" w:cs="Arial"/>
        </w:rPr>
        <w:t>Southend, Essex and Thurrock Safeguarding Adults Boards - SET Mental Capacity Act and Deprivation of Liberty Safeguards Policy and Guidance V2 (March 2018)</w:t>
      </w:r>
    </w:p>
    <w:p w14:paraId="35E12533" w14:textId="77777777" w:rsidR="008B2D55" w:rsidRPr="004012C1" w:rsidRDefault="008B2D55" w:rsidP="00E75BDE">
      <w:pPr>
        <w:jc w:val="both"/>
        <w:rPr>
          <w:rFonts w:ascii="Arial" w:hAnsi="Arial" w:cs="Arial"/>
        </w:rPr>
      </w:pPr>
      <w:r w:rsidRPr="004012C1">
        <w:rPr>
          <w:rFonts w:ascii="Arial" w:hAnsi="Arial" w:cs="Arial"/>
        </w:rPr>
        <w:t xml:space="preserve">Southend, Essex and Thurrock (SET) Safeguarding and Child Protection Procedures (revised 2019) </w:t>
      </w:r>
    </w:p>
    <w:p w14:paraId="195CDC0A" w14:textId="77777777" w:rsidR="008B2D55" w:rsidRPr="004012C1" w:rsidRDefault="008B2D55" w:rsidP="00E75BDE">
      <w:pPr>
        <w:jc w:val="both"/>
        <w:rPr>
          <w:rFonts w:ascii="Arial" w:hAnsi="Arial" w:cs="Arial"/>
        </w:rPr>
      </w:pPr>
      <w:r w:rsidRPr="004012C1">
        <w:rPr>
          <w:rFonts w:ascii="Arial" w:hAnsi="Arial" w:cs="Arial"/>
        </w:rPr>
        <w:t>Southend, Essex and Thurrock (SET) Safeguarding Adult Guidelines (revised 2019)</w:t>
      </w:r>
    </w:p>
    <w:p w14:paraId="6FDBEC2E" w14:textId="270E5888" w:rsidR="001D6DD0" w:rsidRDefault="00587C7F" w:rsidP="00E75BDE">
      <w:pPr>
        <w:rPr>
          <w:rFonts w:cstheme="minorHAnsi"/>
          <w:color w:val="000000"/>
          <w:shd w:val="clear" w:color="auto" w:fill="FFFFFF"/>
        </w:rPr>
      </w:pPr>
      <w:hyperlink r:id="rId13" w:history="1">
        <w:r w:rsidR="001D6DD0" w:rsidRPr="00E52432">
          <w:rPr>
            <w:rStyle w:val="Hyperlink"/>
            <w:rFonts w:cstheme="minorHAnsi"/>
            <w:color w:val="7E0055"/>
            <w:shd w:val="clear" w:color="auto" w:fill="FFFFFF"/>
          </w:rPr>
          <w:t>Violence prevention and reduction standard</w:t>
        </w:r>
      </w:hyperlink>
      <w:r w:rsidR="001D6DD0" w:rsidRPr="00E52432">
        <w:rPr>
          <w:rFonts w:cstheme="minorHAnsi"/>
          <w:color w:val="000000"/>
          <w:shd w:val="clear" w:color="auto" w:fill="FFFFFF"/>
        </w:rPr>
        <w:t> (</w:t>
      </w:r>
      <w:r w:rsidR="001D6DD0" w:rsidRPr="00E52432">
        <w:rPr>
          <w:rFonts w:cstheme="minorHAnsi"/>
        </w:rPr>
        <w:t>NHS and Social Partnership Forum</w:t>
      </w:r>
      <w:r w:rsidR="001D6DD0">
        <w:rPr>
          <w:rFonts w:cstheme="minorHAnsi"/>
        </w:rPr>
        <w:t xml:space="preserve">, </w:t>
      </w:r>
      <w:r w:rsidR="001D6DD0" w:rsidRPr="00E52432">
        <w:rPr>
          <w:rFonts w:cstheme="minorHAnsi"/>
          <w:color w:val="000000"/>
          <w:shd w:val="clear" w:color="auto" w:fill="FFFFFF"/>
        </w:rPr>
        <w:t>2020)</w:t>
      </w:r>
    </w:p>
    <w:p w14:paraId="6C6714E6" w14:textId="0D38FC95" w:rsidR="00E75BDE" w:rsidRDefault="00587C7F" w:rsidP="00E75BDE">
      <w:pPr>
        <w:rPr>
          <w:rFonts w:cstheme="minorHAnsi"/>
          <w:color w:val="000000"/>
          <w:shd w:val="clear" w:color="auto" w:fill="FFFFFF"/>
        </w:rPr>
      </w:pPr>
      <w:hyperlink r:id="rId14" w:history="1">
        <w:r w:rsidR="00E75BDE" w:rsidRPr="00E52432">
          <w:rPr>
            <w:rStyle w:val="Hyperlink"/>
            <w:rFonts w:eastAsia="Times New Roman" w:cstheme="minorHAnsi"/>
            <w:lang w:eastAsia="en-GB"/>
          </w:rPr>
          <w:t>Violence against NHS staff: letter to the workforce</w:t>
        </w:r>
      </w:hyperlink>
      <w:r w:rsidR="00E75BDE" w:rsidRPr="00E52432">
        <w:rPr>
          <w:rFonts w:eastAsia="Times New Roman" w:cstheme="minorHAnsi"/>
          <w:lang w:eastAsia="en-GB"/>
        </w:rPr>
        <w:t xml:space="preserve"> (Secretary of State for Health</w:t>
      </w:r>
      <w:r w:rsidR="00E75BDE">
        <w:rPr>
          <w:rFonts w:eastAsia="Times New Roman" w:cstheme="minorHAnsi"/>
          <w:lang w:eastAsia="en-GB"/>
        </w:rPr>
        <w:t xml:space="preserve">, 18 </w:t>
      </w:r>
      <w:r w:rsidR="00E75BDE" w:rsidRPr="00E52432">
        <w:rPr>
          <w:rFonts w:eastAsia="Times New Roman" w:cstheme="minorHAnsi"/>
          <w:lang w:eastAsia="en-GB"/>
        </w:rPr>
        <w:t xml:space="preserve">February 2020). </w:t>
      </w:r>
    </w:p>
    <w:p w14:paraId="1A721C30" w14:textId="3BF3E3BB" w:rsidR="008B2D55" w:rsidRPr="004012C1" w:rsidRDefault="008B2D55" w:rsidP="00E75BDE">
      <w:pPr>
        <w:jc w:val="both"/>
        <w:rPr>
          <w:rFonts w:ascii="Arial" w:hAnsi="Arial" w:cs="Arial"/>
        </w:rPr>
      </w:pPr>
      <w:r w:rsidRPr="004B436F">
        <w:rPr>
          <w:rFonts w:ascii="Arial" w:hAnsi="Arial" w:cs="Arial"/>
          <w:spacing w:val="1"/>
        </w:rPr>
        <w:t>Who</w:t>
      </w:r>
      <w:r w:rsidRPr="004B436F">
        <w:rPr>
          <w:rFonts w:ascii="Arial" w:hAnsi="Arial" w:cs="Arial"/>
          <w:spacing w:val="-4"/>
        </w:rPr>
        <w:t xml:space="preserve"> P</w:t>
      </w:r>
      <w:r w:rsidRPr="004B436F">
        <w:rPr>
          <w:rFonts w:ascii="Arial" w:hAnsi="Arial" w:cs="Arial"/>
        </w:rPr>
        <w:t>ays? Determining which NHS commissioner is responsible for making payment to a provider (NHS</w:t>
      </w:r>
      <w:r w:rsidR="00E75BDE" w:rsidRPr="004B436F">
        <w:rPr>
          <w:rFonts w:ascii="Arial" w:hAnsi="Arial" w:cs="Arial"/>
        </w:rPr>
        <w:t xml:space="preserve"> </w:t>
      </w:r>
      <w:r w:rsidRPr="004B436F">
        <w:rPr>
          <w:rFonts w:ascii="Arial" w:hAnsi="Arial" w:cs="Arial"/>
        </w:rPr>
        <w:t>E</w:t>
      </w:r>
      <w:r w:rsidR="00E75BDE" w:rsidRPr="004B436F">
        <w:rPr>
          <w:rFonts w:ascii="Arial" w:hAnsi="Arial" w:cs="Arial"/>
        </w:rPr>
        <w:t>ngland</w:t>
      </w:r>
      <w:r w:rsidRPr="004B436F">
        <w:rPr>
          <w:rFonts w:ascii="Arial" w:hAnsi="Arial" w:cs="Arial"/>
        </w:rPr>
        <w:t>, August 2020)</w:t>
      </w:r>
      <w:r w:rsidR="004B436F">
        <w:rPr>
          <w:rFonts w:ascii="Arial" w:hAnsi="Arial" w:cs="Arial"/>
        </w:rPr>
        <w:t xml:space="preserve"> </w:t>
      </w:r>
    </w:p>
    <w:p w14:paraId="0749B5BB" w14:textId="77777777" w:rsidR="00F913CD" w:rsidRPr="0015255F" w:rsidRDefault="00F913CD" w:rsidP="003667B7">
      <w:pPr>
        <w:pStyle w:val="Heading2"/>
        <w:numPr>
          <w:ilvl w:val="0"/>
          <w:numId w:val="23"/>
        </w:numPr>
        <w:ind w:left="1134" w:hanging="1134"/>
      </w:pPr>
      <w:bookmarkStart w:id="100" w:name="_Toc89326554"/>
      <w:bookmarkStart w:id="101" w:name="_Toc94088235"/>
      <w:bookmarkStart w:id="102" w:name="_Toc110851964"/>
      <w:r w:rsidRPr="0015255F">
        <w:t>Equality Impact Assessment</w:t>
      </w:r>
      <w:bookmarkEnd w:id="100"/>
      <w:bookmarkEnd w:id="101"/>
      <w:bookmarkEnd w:id="102"/>
    </w:p>
    <w:p w14:paraId="31CD75FD" w14:textId="0AFC9273" w:rsidR="00F913CD" w:rsidRPr="00EB5B77" w:rsidRDefault="009E5B43" w:rsidP="003667B7">
      <w:pPr>
        <w:pStyle w:val="Style1"/>
        <w:numPr>
          <w:ilvl w:val="1"/>
          <w:numId w:val="23"/>
        </w:numPr>
        <w:ind w:left="1134" w:hanging="1134"/>
        <w:rPr>
          <w:color w:val="auto"/>
        </w:rPr>
      </w:pPr>
      <w:r w:rsidRPr="00EB5B77">
        <w:rPr>
          <w:color w:val="auto"/>
        </w:rPr>
        <w:t xml:space="preserve">The </w:t>
      </w:r>
      <w:r w:rsidR="00F913CD" w:rsidRPr="00EB5B77">
        <w:rPr>
          <w:color w:val="auto"/>
        </w:rPr>
        <w:t xml:space="preserve">EIA has identified no equality issues with this policy. </w:t>
      </w:r>
    </w:p>
    <w:p w14:paraId="32344773" w14:textId="77777777" w:rsidR="008344D6" w:rsidRPr="00EB5B77" w:rsidRDefault="00F913CD" w:rsidP="003667B7">
      <w:pPr>
        <w:pStyle w:val="Style1"/>
        <w:numPr>
          <w:ilvl w:val="1"/>
          <w:numId w:val="23"/>
        </w:numPr>
        <w:ind w:left="1134" w:hanging="1134"/>
        <w:rPr>
          <w:color w:val="auto"/>
        </w:rPr>
      </w:pPr>
      <w:r w:rsidRPr="00EB5B77">
        <w:rPr>
          <w:color w:val="auto"/>
        </w:rPr>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103" w:name="_Toc419388298"/>
      <w:bookmarkStart w:id="104" w:name="_Toc47357161"/>
      <w:bookmarkStart w:id="105" w:name="_Toc84611065"/>
      <w:bookmarkStart w:id="106" w:name="_Toc89326555"/>
      <w:bookmarkStart w:id="107" w:name="_Toc94088236"/>
      <w:bookmarkStart w:id="108" w:name="_Toc110851965"/>
      <w:r w:rsidRPr="006606C1">
        <w:t>Appendix</w:t>
      </w:r>
      <w:r>
        <w:t xml:space="preserve"> A</w:t>
      </w:r>
      <w:bookmarkEnd w:id="103"/>
      <w:bookmarkEnd w:id="104"/>
      <w:bookmarkEnd w:id="105"/>
      <w:bookmarkEnd w:id="106"/>
      <w:r>
        <w:t xml:space="preserve"> </w:t>
      </w:r>
      <w:bookmarkStart w:id="109" w:name="_Toc84611066"/>
      <w:bookmarkStart w:id="110" w:name="_Toc89326556"/>
      <w:r w:rsidR="003A663C">
        <w:t xml:space="preserve">- </w:t>
      </w:r>
      <w:r w:rsidRPr="00FC7C60">
        <w:t>Equality Impact Assessment</w:t>
      </w:r>
      <w:bookmarkEnd w:id="107"/>
      <w:bookmarkEnd w:id="108"/>
      <w:bookmarkEnd w:id="109"/>
      <w:bookmarkEnd w:id="110"/>
    </w:p>
    <w:p w14:paraId="47E3DAA6" w14:textId="23EBCAF4" w:rsidR="008344D6" w:rsidRPr="009A513F" w:rsidRDefault="008344D6" w:rsidP="00201DAA">
      <w:pPr>
        <w:pStyle w:val="Heading4"/>
        <w:rPr>
          <w:b w:val="0"/>
          <w:bCs/>
        </w:rPr>
      </w:pPr>
      <w:bookmarkStart w:id="111" w:name="_Toc89326557"/>
      <w:r>
        <w:t>Assessor’s Name:</w:t>
      </w:r>
      <w:r w:rsidR="009E5B43">
        <w:t xml:space="preserve"> </w:t>
      </w:r>
      <w:r w:rsidR="009E5B43" w:rsidRPr="009A513F">
        <w:rPr>
          <w:b w:val="0"/>
          <w:bCs/>
        </w:rPr>
        <w:t>Alyson Taylor</w:t>
      </w:r>
    </w:p>
    <w:p w14:paraId="0B47F8BC" w14:textId="289FAE88" w:rsidR="008344D6" w:rsidRDefault="008344D6" w:rsidP="00201DAA">
      <w:pPr>
        <w:pStyle w:val="Heading4"/>
      </w:pPr>
      <w:r>
        <w:t>Assessor’s Job Title:</w:t>
      </w:r>
      <w:r w:rsidR="009E5B43">
        <w:t xml:space="preserve"> </w:t>
      </w:r>
      <w:r w:rsidR="009E5B43" w:rsidRPr="009A513F">
        <w:rPr>
          <w:b w:val="0"/>
          <w:bCs/>
        </w:rPr>
        <w:t>Head of CHC &amp;</w:t>
      </w:r>
      <w:r w:rsidR="009A513F" w:rsidRPr="009A513F">
        <w:rPr>
          <w:b w:val="0"/>
          <w:bCs/>
        </w:rPr>
        <w:t xml:space="preserve"> </w:t>
      </w:r>
      <w:r w:rsidR="009E5B43" w:rsidRPr="009A513F">
        <w:rPr>
          <w:b w:val="0"/>
          <w:bCs/>
        </w:rPr>
        <w:t>CYPCC</w:t>
      </w:r>
    </w:p>
    <w:p w14:paraId="631E0362" w14:textId="683FB212" w:rsidR="008344D6" w:rsidRDefault="008344D6" w:rsidP="00201DAA">
      <w:pPr>
        <w:pStyle w:val="Heading4"/>
        <w:rPr>
          <w:b w:val="0"/>
          <w:bCs/>
        </w:rPr>
      </w:pPr>
      <w:r>
        <w:t>Date:</w:t>
      </w:r>
      <w:r w:rsidR="009A513F">
        <w:t xml:space="preserve"> </w:t>
      </w:r>
      <w:r w:rsidR="009A513F">
        <w:rPr>
          <w:b w:val="0"/>
          <w:bCs/>
        </w:rPr>
        <w:t>17/02/2022</w:t>
      </w:r>
    </w:p>
    <w:p w14:paraId="6E9F3C12" w14:textId="705E357A" w:rsidR="007D5D3C" w:rsidRPr="007D5D3C" w:rsidRDefault="007D5D3C" w:rsidP="007D5D3C">
      <w:pPr>
        <w:ind w:left="0"/>
      </w:pPr>
      <w:r w:rsidRPr="007D5D3C">
        <w:rPr>
          <w:b/>
          <w:bCs/>
        </w:rPr>
        <w:t>Version:</w:t>
      </w:r>
      <w:r>
        <w:t xml:space="preserve"> 1.0</w:t>
      </w:r>
    </w:p>
    <w:p w14:paraId="1174C48F" w14:textId="77777777" w:rsidR="006606C1" w:rsidRPr="00295019" w:rsidRDefault="006606C1" w:rsidP="00201DAA">
      <w:pPr>
        <w:pStyle w:val="Heading4"/>
      </w:pPr>
      <w:r w:rsidRPr="00295019">
        <w:t>Outcomes</w:t>
      </w:r>
      <w:bookmarkEnd w:id="111"/>
      <w:r w:rsidRPr="00295019">
        <w:t xml:space="preserve"> </w:t>
      </w:r>
    </w:p>
    <w:p w14:paraId="47A56263" w14:textId="77777777" w:rsidR="006606C1" w:rsidRDefault="006606C1" w:rsidP="00543D7B">
      <w:pPr>
        <w:ind w:left="0"/>
      </w:pPr>
      <w:r w:rsidRPr="00873D77">
        <w:t xml:space="preserve">Briefly describe the aim of the policy and state the intended outcomes for </w:t>
      </w:r>
      <w:r w:rsidRPr="006606C1">
        <w:t>staff</w:t>
      </w:r>
    </w:p>
    <w:p w14:paraId="10634292" w14:textId="33943F83" w:rsidR="00A24F44" w:rsidRPr="00A24F44" w:rsidRDefault="00A24F44" w:rsidP="00543D7B">
      <w:pPr>
        <w:ind w:left="0"/>
        <w:jc w:val="both"/>
        <w:rPr>
          <w:i/>
          <w:iCs/>
        </w:rPr>
      </w:pPr>
      <w:r w:rsidRPr="00A24F44">
        <w:rPr>
          <w:i/>
          <w:iCs/>
        </w:rPr>
        <w:t xml:space="preserve">The AACC Operational Policy aims to provide staff with the knowledge and skills to implement the National Frameworks in a way that is in accordance with all relevant legislation and ensures equity of access to services </w:t>
      </w:r>
      <w:r>
        <w:rPr>
          <w:i/>
          <w:iCs/>
        </w:rPr>
        <w:t xml:space="preserve">and the most independent outcomes </w:t>
      </w:r>
      <w:r w:rsidRPr="00A24F44">
        <w:rPr>
          <w:i/>
          <w:iCs/>
        </w:rPr>
        <w:t xml:space="preserve">for all who may need them. </w:t>
      </w:r>
    </w:p>
    <w:p w14:paraId="099EA78B" w14:textId="1B686E7C" w:rsidR="00B80EAE" w:rsidRPr="00543D7B" w:rsidRDefault="00B80EAE" w:rsidP="00543D7B">
      <w:pPr>
        <w:ind w:left="0"/>
        <w:rPr>
          <w:b/>
          <w:bCs/>
        </w:rPr>
      </w:pPr>
      <w:r w:rsidRPr="00543D7B">
        <w:rPr>
          <w:b/>
          <w:bCs/>
        </w:rPr>
        <w:t xml:space="preserve">Evidence </w:t>
      </w:r>
    </w:p>
    <w:p w14:paraId="268E41CF" w14:textId="77777777" w:rsidR="00B80EAE" w:rsidRPr="00B80EAE" w:rsidRDefault="00B80EAE" w:rsidP="00543D7B">
      <w:pPr>
        <w:ind w:left="0"/>
      </w:pPr>
      <w:r w:rsidRPr="00B80EAE">
        <w:t>What data/information have you used to assess how this policy might impact</w:t>
      </w:r>
      <w:r>
        <w:t xml:space="preserve"> </w:t>
      </w:r>
      <w:r w:rsidRPr="00B80EAE">
        <w:t>on protected groups?</w:t>
      </w:r>
    </w:p>
    <w:p w14:paraId="2319F8B7" w14:textId="77777777" w:rsidR="00A24F44" w:rsidRPr="006903A5" w:rsidRDefault="00A24F44" w:rsidP="003667B7">
      <w:pPr>
        <w:pStyle w:val="ListParagraph"/>
        <w:numPr>
          <w:ilvl w:val="0"/>
          <w:numId w:val="20"/>
        </w:numPr>
        <w:ind w:left="567" w:hanging="567"/>
        <w:rPr>
          <w:i/>
          <w:iCs/>
        </w:rPr>
      </w:pPr>
      <w:r w:rsidRPr="006903A5">
        <w:rPr>
          <w:i/>
          <w:iCs/>
        </w:rPr>
        <w:t>Learning from previous complaints and PHSO investigations</w:t>
      </w:r>
    </w:p>
    <w:p w14:paraId="3BDE0B6D" w14:textId="77777777" w:rsidR="00A24F44" w:rsidRPr="006903A5" w:rsidRDefault="00A24F44" w:rsidP="003667B7">
      <w:pPr>
        <w:pStyle w:val="ListParagraph"/>
        <w:numPr>
          <w:ilvl w:val="0"/>
          <w:numId w:val="20"/>
        </w:numPr>
        <w:ind w:left="567" w:hanging="567"/>
        <w:rPr>
          <w:i/>
          <w:iCs/>
        </w:rPr>
      </w:pPr>
      <w:r w:rsidRPr="006903A5">
        <w:rPr>
          <w:i/>
          <w:iCs/>
        </w:rPr>
        <w:t>CHC assessments collect equality monitoring data</w:t>
      </w:r>
    </w:p>
    <w:p w14:paraId="46594DBB" w14:textId="77777777" w:rsidR="00B80EAE" w:rsidRPr="00873D77" w:rsidRDefault="00B80EAE" w:rsidP="00543D7B">
      <w:pPr>
        <w:ind w:left="0"/>
      </w:pPr>
      <w:r w:rsidRPr="00873D77">
        <w:t xml:space="preserve">Who have you consulted with to assess possible impact on </w:t>
      </w:r>
      <w:r w:rsidRPr="00B80EAE">
        <w:t>protected</w:t>
      </w:r>
      <w:r w:rsidRPr="00873D77">
        <w:t xml:space="preserve"> groups?</w:t>
      </w:r>
      <w:r>
        <w:t xml:space="preserve"> </w:t>
      </w:r>
      <w:r w:rsidRPr="00873D77">
        <w:t xml:space="preserve">If you have not consulted other </w:t>
      </w:r>
      <w:r w:rsidRPr="001148C4">
        <w:t>people</w:t>
      </w:r>
      <w:r w:rsidRPr="00873D77">
        <w:t xml:space="preserve">, please explain why? </w:t>
      </w:r>
    </w:p>
    <w:p w14:paraId="6B07CA9C" w14:textId="4FB0DC04" w:rsidR="00B80EAE" w:rsidRPr="006903A5" w:rsidRDefault="006903A5" w:rsidP="00543D7B">
      <w:pPr>
        <w:ind w:left="0"/>
        <w:rPr>
          <w:i/>
          <w:iCs/>
        </w:rPr>
      </w:pPr>
      <w:r w:rsidRPr="006903A5">
        <w:rPr>
          <w:i/>
          <w:iCs/>
        </w:rPr>
        <w:t xml:space="preserve">CHC Leads, </w:t>
      </w:r>
      <w:r>
        <w:rPr>
          <w:i/>
          <w:iCs/>
        </w:rPr>
        <w:t xml:space="preserve">senior managers, </w:t>
      </w:r>
      <w:r w:rsidRPr="006903A5">
        <w:rPr>
          <w:i/>
          <w:iCs/>
        </w:rPr>
        <w:t>Governance Team, wider consultation with partner organisations including other health services and adult social care.</w:t>
      </w:r>
    </w:p>
    <w:p w14:paraId="24F4AE0C" w14:textId="77777777" w:rsidR="00B80EAE" w:rsidRPr="00873D77" w:rsidRDefault="00B80EAE" w:rsidP="00201DAA">
      <w:pPr>
        <w:pStyle w:val="Heading4"/>
      </w:pPr>
      <w:bookmarkStart w:id="112" w:name="_Toc89326558"/>
      <w:r w:rsidRPr="00873D77">
        <w:t xml:space="preserve">Analysis of impact </w:t>
      </w:r>
      <w:r w:rsidRPr="00B80EAE">
        <w:t>on</w:t>
      </w:r>
      <w:r w:rsidRPr="00873D77">
        <w:t xml:space="preserve"> equality</w:t>
      </w:r>
      <w:bookmarkEnd w:id="112"/>
      <w:r w:rsidRPr="00873D77">
        <w:t xml:space="preserve"> </w:t>
      </w:r>
    </w:p>
    <w:p w14:paraId="59C5C113" w14:textId="77777777" w:rsidR="00B80EAE" w:rsidRPr="00873D77" w:rsidRDefault="00B80EAE" w:rsidP="00543D7B">
      <w:pPr>
        <w:ind w:left="0"/>
      </w:pPr>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543D7B">
      <w:pPr>
        <w:ind w:left="0"/>
      </w:pPr>
      <w:r w:rsidRPr="001148C4">
        <w:t>N.B. In some cases it is legal to treat people differently (objective justification).</w:t>
      </w:r>
    </w:p>
    <w:p w14:paraId="3F3B5B7F" w14:textId="77777777" w:rsidR="00E90CB2" w:rsidRPr="008E42CC" w:rsidRDefault="00E90CB2" w:rsidP="00543D7B">
      <w:pPr>
        <w:pStyle w:val="ListParagraph"/>
        <w:numPr>
          <w:ilvl w:val="0"/>
          <w:numId w:val="11"/>
        </w:numPr>
        <w:adjustRightInd w:val="0"/>
        <w:spacing w:before="160"/>
        <w:ind w:left="567" w:hanging="567"/>
        <w:contextualSpacing w:val="0"/>
      </w:pPr>
      <w:r w:rsidRPr="008E42CC">
        <w:rPr>
          <w:b/>
          <w:bCs/>
        </w:rPr>
        <w:t>Positive outcome</w:t>
      </w:r>
      <w:r w:rsidRPr="008E42CC">
        <w:t xml:space="preserve"> – the policy/service eliminates discrimination, advances equality of opportunity and fosters good relations with protected groups</w:t>
      </w:r>
    </w:p>
    <w:p w14:paraId="6331F731" w14:textId="77777777" w:rsidR="00E90CB2" w:rsidRPr="007D5D3C" w:rsidRDefault="00E90CB2" w:rsidP="00543D7B">
      <w:pPr>
        <w:pStyle w:val="ListParagraph"/>
        <w:numPr>
          <w:ilvl w:val="0"/>
          <w:numId w:val="11"/>
        </w:numPr>
        <w:adjustRightInd w:val="0"/>
        <w:spacing w:before="160"/>
        <w:ind w:left="567" w:hanging="567"/>
        <w:contextualSpacing w:val="0"/>
        <w:rPr>
          <w:color w:val="auto"/>
        </w:rPr>
      </w:pPr>
      <w:r w:rsidRPr="007D5D3C">
        <w:rPr>
          <w:b/>
          <w:bCs/>
          <w:color w:val="auto"/>
        </w:rPr>
        <w:t>Negative outcome</w:t>
      </w:r>
      <w:r w:rsidRPr="007D5D3C">
        <w:rPr>
          <w:color w:val="auto"/>
        </w:rPr>
        <w:t xml:space="preserve"> – protected group(s) could be disadvantaged or discriminated against</w:t>
      </w:r>
    </w:p>
    <w:p w14:paraId="0EE50DC3" w14:textId="77777777" w:rsidR="00D627A4" w:rsidRPr="007D5D3C" w:rsidRDefault="00E90CB2" w:rsidP="00543D7B">
      <w:pPr>
        <w:pStyle w:val="ListParagraph"/>
        <w:numPr>
          <w:ilvl w:val="0"/>
          <w:numId w:val="11"/>
        </w:numPr>
        <w:adjustRightInd w:val="0"/>
        <w:spacing w:before="160"/>
        <w:ind w:left="567" w:hanging="567"/>
        <w:contextualSpacing w:val="0"/>
        <w:rPr>
          <w:color w:val="auto"/>
        </w:rPr>
      </w:pPr>
      <w:r w:rsidRPr="007D5D3C">
        <w:rPr>
          <w:b/>
          <w:bCs/>
          <w:color w:val="auto"/>
        </w:rPr>
        <w:t>Neutral outcome</w:t>
      </w:r>
      <w:r w:rsidRPr="007D5D3C">
        <w:rPr>
          <w:color w:val="auto"/>
        </w:rPr>
        <w:t xml:space="preserve"> – there is no effect currently on protected groups</w:t>
      </w:r>
    </w:p>
    <w:p w14:paraId="32364150" w14:textId="38FAC747" w:rsidR="00781F15" w:rsidRDefault="00781F15" w:rsidP="00EB5B77">
      <w:pPr>
        <w:spacing w:before="0" w:after="0"/>
        <w:ind w:left="0"/>
      </w:pPr>
      <w:r>
        <w:br w:type="page"/>
      </w:r>
      <w:r w:rsidR="00E90CB2" w:rsidRPr="00873D77">
        <w:t>Please tick to show if outcome is likely to be positive, negative or neutral</w:t>
      </w:r>
      <w:r>
        <w:t>. Please fill all boxes, any that aren’t applicable enter N/A.</w:t>
      </w:r>
    </w:p>
    <w:p w14:paraId="6674746D" w14:textId="77777777" w:rsidR="00E90CB2" w:rsidRDefault="00E90CB2" w:rsidP="00781F15">
      <w:pPr>
        <w:ind w:left="0"/>
      </w:pPr>
      <w:r w:rsidRPr="00873D77">
        <w:t>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Analysis of impact on equality"/>
      </w:tblPr>
      <w:tblGrid>
        <w:gridCol w:w="1981"/>
        <w:gridCol w:w="1134"/>
        <w:gridCol w:w="1134"/>
        <w:gridCol w:w="1134"/>
        <w:gridCol w:w="3633"/>
      </w:tblGrid>
      <w:tr w:rsidR="00543D7B" w:rsidRPr="00615058" w14:paraId="5F40F284" w14:textId="77777777" w:rsidTr="00543D7B">
        <w:trPr>
          <w:cantSplit/>
          <w:trHeight w:val="841"/>
          <w:tblHeader/>
        </w:trPr>
        <w:tc>
          <w:tcPr>
            <w:tcW w:w="1098"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FC489F">
            <w:pPr>
              <w:pStyle w:val="NoSpacing"/>
              <w:rPr>
                <w:color w:val="FFFFFF" w:themeColor="background1"/>
              </w:rPr>
            </w:pPr>
            <w:r w:rsidRPr="00615058">
              <w:rPr>
                <w:color w:val="FFFFFF" w:themeColor="background1"/>
              </w:rPr>
              <w:t>Protected</w:t>
            </w:r>
          </w:p>
          <w:p w14:paraId="411AFD7B" w14:textId="77777777" w:rsidR="00E90CB2" w:rsidRPr="00615058" w:rsidRDefault="00E90CB2" w:rsidP="00FC489F">
            <w:pPr>
              <w:pStyle w:val="NoSpacing"/>
              <w:rPr>
                <w:color w:val="FFFFFF" w:themeColor="background1"/>
              </w:rPr>
            </w:pPr>
            <w:r w:rsidRPr="00615058">
              <w:rPr>
                <w:color w:val="FFFFFF" w:themeColor="background1"/>
              </w:rPr>
              <w:t>Group</w:t>
            </w:r>
          </w:p>
        </w:tc>
        <w:tc>
          <w:tcPr>
            <w:tcW w:w="62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FC489F">
            <w:pPr>
              <w:pStyle w:val="NoSpacing"/>
              <w:rPr>
                <w:color w:val="FFFFFF" w:themeColor="background1"/>
              </w:rPr>
            </w:pPr>
            <w:r w:rsidRPr="00615058">
              <w:rPr>
                <w:color w:val="FFFFFF" w:themeColor="background1"/>
              </w:rPr>
              <w:t>Positive</w:t>
            </w:r>
          </w:p>
          <w:p w14:paraId="66CEC2DE" w14:textId="77777777" w:rsidR="00E90CB2" w:rsidRPr="00615058" w:rsidRDefault="00E90CB2" w:rsidP="00FC489F">
            <w:pPr>
              <w:pStyle w:val="NoSpacing"/>
              <w:rPr>
                <w:color w:val="FFFFFF" w:themeColor="background1"/>
              </w:rPr>
            </w:pPr>
            <w:r w:rsidRPr="00615058">
              <w:rPr>
                <w:color w:val="FFFFFF" w:themeColor="background1"/>
              </w:rPr>
              <w:t>outcome</w:t>
            </w:r>
          </w:p>
        </w:tc>
        <w:tc>
          <w:tcPr>
            <w:tcW w:w="62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FC489F">
            <w:pPr>
              <w:pStyle w:val="NoSpacing"/>
              <w:rPr>
                <w:color w:val="FFFFFF" w:themeColor="background1"/>
              </w:rPr>
            </w:pPr>
            <w:r w:rsidRPr="00615058">
              <w:rPr>
                <w:color w:val="FFFFFF" w:themeColor="background1"/>
              </w:rPr>
              <w:t>Negative</w:t>
            </w:r>
          </w:p>
          <w:p w14:paraId="73F24AE2" w14:textId="77777777" w:rsidR="00E90CB2" w:rsidRPr="00615058" w:rsidRDefault="00E90CB2" w:rsidP="00FC489F">
            <w:pPr>
              <w:pStyle w:val="NoSpacing"/>
              <w:rPr>
                <w:color w:val="FFFFFF" w:themeColor="background1"/>
              </w:rPr>
            </w:pPr>
            <w:r w:rsidRPr="00615058">
              <w:rPr>
                <w:color w:val="FFFFFF" w:themeColor="background1"/>
              </w:rPr>
              <w:t>outcome</w:t>
            </w:r>
          </w:p>
        </w:tc>
        <w:tc>
          <w:tcPr>
            <w:tcW w:w="62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FC489F">
            <w:pPr>
              <w:pStyle w:val="NoSpacing"/>
              <w:rPr>
                <w:color w:val="FFFFFF" w:themeColor="background1"/>
              </w:rPr>
            </w:pPr>
            <w:r w:rsidRPr="00615058">
              <w:rPr>
                <w:color w:val="FFFFFF" w:themeColor="background1"/>
              </w:rPr>
              <w:t>Neutral</w:t>
            </w:r>
          </w:p>
          <w:p w14:paraId="0DEBD95D" w14:textId="77777777" w:rsidR="00E90CB2" w:rsidRPr="00615058" w:rsidRDefault="00E90CB2" w:rsidP="00FC489F">
            <w:pPr>
              <w:pStyle w:val="NoSpacing"/>
              <w:rPr>
                <w:color w:val="FFFFFF" w:themeColor="background1"/>
              </w:rPr>
            </w:pPr>
            <w:r w:rsidRPr="00615058">
              <w:rPr>
                <w:color w:val="FFFFFF" w:themeColor="background1"/>
              </w:rPr>
              <w:t>outcome</w:t>
            </w:r>
          </w:p>
        </w:tc>
        <w:tc>
          <w:tcPr>
            <w:tcW w:w="2015"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FC489F">
            <w:pPr>
              <w:pStyle w:val="NoSpacing"/>
              <w:rPr>
                <w:rFonts w:cs="Arial"/>
                <w:color w:val="FFFFFF" w:themeColor="background1"/>
              </w:rPr>
            </w:pPr>
            <w:bookmarkStart w:id="113" w:name="_Toc168389175"/>
            <w:r w:rsidRPr="00615058">
              <w:rPr>
                <w:rFonts w:cs="Arial"/>
                <w:color w:val="FFFFFF" w:themeColor="background1"/>
              </w:rPr>
              <w:t xml:space="preserve">Reason(s) for </w:t>
            </w:r>
            <w:bookmarkEnd w:id="113"/>
            <w:r w:rsidRPr="00615058">
              <w:rPr>
                <w:rFonts w:cs="Arial"/>
                <w:color w:val="FFFFFF" w:themeColor="background1"/>
              </w:rPr>
              <w:t>outcome</w:t>
            </w:r>
          </w:p>
        </w:tc>
      </w:tr>
      <w:tr w:rsidR="00543D7B" w:rsidRPr="00F26504" w14:paraId="4A48AAFC"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59A49229" w14:textId="77777777" w:rsidR="00E90CB2" w:rsidRPr="00F26504" w:rsidRDefault="00E90CB2" w:rsidP="003771EC">
            <w:pPr>
              <w:pStyle w:val="NoSpacing"/>
            </w:pPr>
            <w:r w:rsidRPr="00F26504">
              <w:t>Age</w:t>
            </w:r>
          </w:p>
        </w:tc>
        <w:tc>
          <w:tcPr>
            <w:tcW w:w="629" w:type="pct"/>
            <w:tcBorders>
              <w:top w:val="single" w:sz="4" w:space="0" w:color="auto"/>
              <w:left w:val="single" w:sz="4" w:space="0" w:color="auto"/>
              <w:bottom w:val="single" w:sz="4" w:space="0" w:color="auto"/>
              <w:right w:val="single" w:sz="4" w:space="0" w:color="auto"/>
            </w:tcBorders>
            <w:vAlign w:val="center"/>
          </w:tcPr>
          <w:p w14:paraId="1988116E" w14:textId="30751BC8" w:rsidR="00E90CB2" w:rsidRPr="00F26504" w:rsidRDefault="00721351" w:rsidP="003771EC">
            <w:pPr>
              <w:pStyle w:val="NoSpacing"/>
            </w:pPr>
            <w:r>
              <w:t>x</w:t>
            </w:r>
          </w:p>
        </w:tc>
        <w:tc>
          <w:tcPr>
            <w:tcW w:w="629" w:type="pct"/>
            <w:tcBorders>
              <w:top w:val="single" w:sz="4" w:space="0" w:color="auto"/>
              <w:left w:val="single" w:sz="4" w:space="0" w:color="auto"/>
              <w:bottom w:val="single" w:sz="4" w:space="0" w:color="auto"/>
              <w:right w:val="single" w:sz="4" w:space="0" w:color="auto"/>
            </w:tcBorders>
            <w:vAlign w:val="center"/>
          </w:tcPr>
          <w:p w14:paraId="141156F8"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78422FCC" w14:textId="77777777" w:rsidR="00E90CB2" w:rsidRPr="00F26504" w:rsidRDefault="00E90CB2" w:rsidP="003771EC">
            <w:pPr>
              <w:pStyle w:val="NoSpacing"/>
            </w:pPr>
          </w:p>
        </w:tc>
        <w:tc>
          <w:tcPr>
            <w:tcW w:w="2015" w:type="pct"/>
            <w:tcBorders>
              <w:top w:val="single" w:sz="4" w:space="0" w:color="auto"/>
              <w:left w:val="single" w:sz="4" w:space="0" w:color="auto"/>
              <w:bottom w:val="single" w:sz="4" w:space="0" w:color="auto"/>
              <w:right w:val="single" w:sz="4" w:space="0" w:color="auto"/>
            </w:tcBorders>
            <w:vAlign w:val="center"/>
          </w:tcPr>
          <w:p w14:paraId="1E309ECC" w14:textId="2D88C353" w:rsidR="00E90CB2" w:rsidRPr="00721351" w:rsidRDefault="00721351" w:rsidP="003771EC">
            <w:pPr>
              <w:pStyle w:val="NoSpacing"/>
              <w:rPr>
                <w:i/>
                <w:iCs/>
              </w:rPr>
            </w:pPr>
            <w:r w:rsidRPr="00721351">
              <w:rPr>
                <w:i/>
                <w:iCs/>
              </w:rPr>
              <w:t xml:space="preserve">The development of the AACC service approach ensures a ‘cradle to grave’ service offer. </w:t>
            </w:r>
          </w:p>
        </w:tc>
      </w:tr>
      <w:tr w:rsidR="00543D7B" w:rsidRPr="00F26504" w14:paraId="575C2366"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60D46C32" w14:textId="77777777" w:rsidR="00E90CB2" w:rsidRDefault="00E90CB2" w:rsidP="003771EC">
            <w:pPr>
              <w:pStyle w:val="NoSpacing"/>
            </w:pPr>
            <w:r w:rsidRPr="00F26504">
              <w:t>Disability</w:t>
            </w:r>
          </w:p>
          <w:p w14:paraId="5047B485" w14:textId="77777777" w:rsidR="00E90CB2" w:rsidRPr="00F26504" w:rsidRDefault="00E90CB2" w:rsidP="003771EC">
            <w:pPr>
              <w:pStyle w:val="NoSpacing"/>
            </w:pPr>
            <w:r>
              <w:t>(Physical and Mental/Learning)</w:t>
            </w:r>
          </w:p>
        </w:tc>
        <w:tc>
          <w:tcPr>
            <w:tcW w:w="629" w:type="pct"/>
            <w:tcBorders>
              <w:top w:val="single" w:sz="4" w:space="0" w:color="auto"/>
              <w:left w:val="single" w:sz="4" w:space="0" w:color="auto"/>
              <w:bottom w:val="single" w:sz="4" w:space="0" w:color="auto"/>
              <w:right w:val="single" w:sz="4" w:space="0" w:color="auto"/>
            </w:tcBorders>
            <w:vAlign w:val="center"/>
          </w:tcPr>
          <w:p w14:paraId="69E543E8" w14:textId="527DE1F8" w:rsidR="00E90CB2" w:rsidRPr="00F26504" w:rsidRDefault="00721351" w:rsidP="003771EC">
            <w:pPr>
              <w:pStyle w:val="NoSpacing"/>
            </w:pPr>
            <w:r>
              <w:t>x</w:t>
            </w:r>
          </w:p>
        </w:tc>
        <w:tc>
          <w:tcPr>
            <w:tcW w:w="629" w:type="pct"/>
            <w:tcBorders>
              <w:top w:val="single" w:sz="4" w:space="0" w:color="auto"/>
              <w:left w:val="single" w:sz="4" w:space="0" w:color="auto"/>
              <w:bottom w:val="single" w:sz="4" w:space="0" w:color="auto"/>
              <w:right w:val="single" w:sz="4" w:space="0" w:color="auto"/>
            </w:tcBorders>
            <w:vAlign w:val="center"/>
          </w:tcPr>
          <w:p w14:paraId="1B6B0336"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7366DF9E" w14:textId="77777777" w:rsidR="00E90CB2" w:rsidRPr="00F26504" w:rsidRDefault="00E90CB2" w:rsidP="003771EC">
            <w:pPr>
              <w:pStyle w:val="NoSpacing"/>
            </w:pPr>
          </w:p>
        </w:tc>
        <w:tc>
          <w:tcPr>
            <w:tcW w:w="2015" w:type="pct"/>
            <w:tcBorders>
              <w:top w:val="single" w:sz="4" w:space="0" w:color="auto"/>
              <w:left w:val="single" w:sz="4" w:space="0" w:color="auto"/>
              <w:bottom w:val="single" w:sz="4" w:space="0" w:color="auto"/>
              <w:right w:val="single" w:sz="4" w:space="0" w:color="auto"/>
            </w:tcBorders>
            <w:vAlign w:val="center"/>
          </w:tcPr>
          <w:p w14:paraId="4C9DA8A8" w14:textId="2234EA9C" w:rsidR="00E90CB2" w:rsidRPr="00721351" w:rsidRDefault="00721351" w:rsidP="003771EC">
            <w:pPr>
              <w:pStyle w:val="NoSpacing"/>
              <w:rPr>
                <w:i/>
                <w:iCs/>
              </w:rPr>
            </w:pPr>
            <w:r w:rsidRPr="00721351">
              <w:rPr>
                <w:i/>
                <w:iCs/>
              </w:rPr>
              <w:t xml:space="preserve">The AACC policy seeks to ensure that people with disabilities are treated equitably and that their specific needs are assessed and services identified and/or commissioned </w:t>
            </w:r>
            <w:r>
              <w:rPr>
                <w:i/>
                <w:iCs/>
              </w:rPr>
              <w:t xml:space="preserve">(where service gaps are identified) </w:t>
            </w:r>
            <w:r w:rsidRPr="00721351">
              <w:rPr>
                <w:i/>
                <w:iCs/>
              </w:rPr>
              <w:t xml:space="preserve">to meet those needs in the least restrictive and most independent way possible. </w:t>
            </w:r>
          </w:p>
        </w:tc>
      </w:tr>
      <w:tr w:rsidR="00543D7B" w:rsidRPr="00F26504" w14:paraId="29F65659"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04C6EF41" w14:textId="77777777" w:rsidR="00E90CB2" w:rsidRPr="00F26504" w:rsidRDefault="00E90CB2" w:rsidP="003771EC">
            <w:pPr>
              <w:pStyle w:val="NoSpacing"/>
            </w:pPr>
            <w:r>
              <w:t>Religion</w:t>
            </w:r>
            <w:r w:rsidRPr="00F26504">
              <w:t xml:space="preserve"> </w:t>
            </w:r>
            <w:r>
              <w:t>or</w:t>
            </w:r>
            <w:r w:rsidRPr="00F26504">
              <w:t xml:space="preserve"> </w:t>
            </w:r>
            <w:r>
              <w:t>b</w:t>
            </w:r>
            <w:r w:rsidRPr="00F26504">
              <w:t>elief</w:t>
            </w:r>
          </w:p>
        </w:tc>
        <w:tc>
          <w:tcPr>
            <w:tcW w:w="629" w:type="pct"/>
            <w:tcBorders>
              <w:top w:val="single" w:sz="4" w:space="0" w:color="auto"/>
              <w:left w:val="single" w:sz="4" w:space="0" w:color="auto"/>
              <w:bottom w:val="single" w:sz="4" w:space="0" w:color="auto"/>
              <w:right w:val="single" w:sz="4" w:space="0" w:color="auto"/>
            </w:tcBorders>
            <w:vAlign w:val="center"/>
          </w:tcPr>
          <w:p w14:paraId="5ED53301"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34129584"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47FEAEDC" w14:textId="63192CED" w:rsidR="00E90CB2" w:rsidRPr="00F26504" w:rsidRDefault="00721351"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108719D2" w14:textId="69CB594C" w:rsidR="00E90CB2" w:rsidRPr="00A24F44" w:rsidRDefault="00721351" w:rsidP="003771EC">
            <w:pPr>
              <w:pStyle w:val="NoSpacing"/>
              <w:rPr>
                <w:i/>
                <w:iCs/>
              </w:rPr>
            </w:pPr>
            <w:r w:rsidRPr="00A24F44">
              <w:rPr>
                <w:i/>
                <w:iCs/>
              </w:rPr>
              <w:t xml:space="preserve">The AACC service policy is to ensure that no group </w:t>
            </w:r>
            <w:r w:rsidR="00A24F44" w:rsidRPr="00A24F44">
              <w:rPr>
                <w:i/>
                <w:iCs/>
              </w:rPr>
              <w:t xml:space="preserve">or individual’s needs are </w:t>
            </w:r>
            <w:r w:rsidRPr="00A24F44">
              <w:rPr>
                <w:i/>
                <w:iCs/>
              </w:rPr>
              <w:t>prioriti</w:t>
            </w:r>
            <w:r w:rsidR="00A24F44" w:rsidRPr="00A24F44">
              <w:rPr>
                <w:i/>
                <w:iCs/>
              </w:rPr>
              <w:t>s</w:t>
            </w:r>
            <w:r w:rsidRPr="00A24F44">
              <w:rPr>
                <w:i/>
                <w:iCs/>
              </w:rPr>
              <w:t xml:space="preserve">ed </w:t>
            </w:r>
            <w:r w:rsidR="00A24F44" w:rsidRPr="00A24F44">
              <w:rPr>
                <w:i/>
                <w:iCs/>
              </w:rPr>
              <w:t xml:space="preserve">(or devalued) </w:t>
            </w:r>
            <w:r w:rsidRPr="00A24F44">
              <w:rPr>
                <w:i/>
                <w:iCs/>
              </w:rPr>
              <w:t>over others for reasons relating to religio</w:t>
            </w:r>
            <w:r w:rsidR="00A24F44" w:rsidRPr="00A24F44">
              <w:rPr>
                <w:i/>
                <w:iCs/>
              </w:rPr>
              <w:t>n</w:t>
            </w:r>
            <w:r w:rsidRPr="00A24F44">
              <w:rPr>
                <w:i/>
                <w:iCs/>
              </w:rPr>
              <w:t xml:space="preserve"> or belief</w:t>
            </w:r>
            <w:r w:rsidR="006903A5">
              <w:rPr>
                <w:i/>
                <w:iCs/>
              </w:rPr>
              <w:t>, unless required to ensure equity of access and outcomes</w:t>
            </w:r>
            <w:r w:rsidR="00A24F44" w:rsidRPr="00A24F44">
              <w:rPr>
                <w:i/>
                <w:iCs/>
              </w:rPr>
              <w:t>.</w:t>
            </w:r>
          </w:p>
        </w:tc>
      </w:tr>
      <w:tr w:rsidR="00543D7B" w:rsidRPr="00F26504" w14:paraId="26AAC7DF"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6A5B4BA0" w14:textId="77777777" w:rsidR="00E90CB2" w:rsidRPr="00F26504" w:rsidRDefault="00E90CB2" w:rsidP="003771EC">
            <w:pPr>
              <w:pStyle w:val="NoSpacing"/>
            </w:pPr>
            <w:r>
              <w:t>Sex (Gender)</w:t>
            </w:r>
          </w:p>
        </w:tc>
        <w:tc>
          <w:tcPr>
            <w:tcW w:w="629" w:type="pct"/>
            <w:tcBorders>
              <w:top w:val="single" w:sz="4" w:space="0" w:color="auto"/>
              <w:left w:val="single" w:sz="4" w:space="0" w:color="auto"/>
              <w:bottom w:val="single" w:sz="4" w:space="0" w:color="auto"/>
              <w:right w:val="single" w:sz="4" w:space="0" w:color="auto"/>
            </w:tcBorders>
            <w:vAlign w:val="center"/>
          </w:tcPr>
          <w:p w14:paraId="4B713B46"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51FBD9D3"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45E054FC" w14:textId="4A256F09" w:rsidR="00E90CB2" w:rsidRPr="00F26504" w:rsidRDefault="00A24F44"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4A291F83" w14:textId="1C18B40D" w:rsidR="00E90CB2" w:rsidRPr="00F26504" w:rsidRDefault="00A24F44" w:rsidP="003771EC">
            <w:pPr>
              <w:pStyle w:val="NoSpacing"/>
            </w:pPr>
            <w:r w:rsidRPr="00A24F44">
              <w:rPr>
                <w:i/>
                <w:iCs/>
              </w:rPr>
              <w:t xml:space="preserve">The AACC service policy is to ensure that no group or individual’s needs are prioritised (or devalued) over others for reasons relating to </w:t>
            </w:r>
            <w:r>
              <w:rPr>
                <w:i/>
                <w:iCs/>
              </w:rPr>
              <w:t>gender</w:t>
            </w:r>
            <w:r w:rsidR="006903A5">
              <w:rPr>
                <w:i/>
                <w:iCs/>
              </w:rPr>
              <w:t>, unless required to ensure equity of access and outcomes</w:t>
            </w:r>
            <w:r w:rsidRPr="00A24F44">
              <w:rPr>
                <w:i/>
                <w:iCs/>
              </w:rPr>
              <w:t>.</w:t>
            </w:r>
          </w:p>
        </w:tc>
      </w:tr>
      <w:tr w:rsidR="00543D7B" w:rsidRPr="00F26504" w14:paraId="760BA9A2"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00C28358" w14:textId="77777777" w:rsidR="00E90CB2" w:rsidRPr="00F26504" w:rsidRDefault="00E90CB2" w:rsidP="003771EC">
            <w:pPr>
              <w:pStyle w:val="NoSpacing"/>
            </w:pPr>
            <w:r w:rsidRPr="00F26504">
              <w:t xml:space="preserve">Sexual </w:t>
            </w:r>
          </w:p>
          <w:p w14:paraId="41356577" w14:textId="77777777" w:rsidR="00E90CB2" w:rsidRPr="00F26504" w:rsidRDefault="00E90CB2" w:rsidP="003771EC">
            <w:pPr>
              <w:pStyle w:val="NoSpacing"/>
            </w:pPr>
            <w:r w:rsidRPr="00F26504">
              <w:t>Orientation</w:t>
            </w:r>
          </w:p>
        </w:tc>
        <w:tc>
          <w:tcPr>
            <w:tcW w:w="629" w:type="pct"/>
            <w:tcBorders>
              <w:top w:val="single" w:sz="4" w:space="0" w:color="auto"/>
              <w:left w:val="single" w:sz="4" w:space="0" w:color="auto"/>
              <w:bottom w:val="single" w:sz="4" w:space="0" w:color="auto"/>
              <w:right w:val="single" w:sz="4" w:space="0" w:color="auto"/>
            </w:tcBorders>
            <w:vAlign w:val="center"/>
          </w:tcPr>
          <w:p w14:paraId="38825D4D"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7C421475"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0E17C345" w14:textId="1886E636" w:rsidR="00E90CB2" w:rsidRPr="00F26504" w:rsidRDefault="00543D7B"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40AADDCC" w14:textId="76D17EE2" w:rsidR="00E90CB2" w:rsidRPr="00F26504" w:rsidRDefault="00A24F44" w:rsidP="003771EC">
            <w:pPr>
              <w:pStyle w:val="NoSpacing"/>
            </w:pPr>
            <w:r w:rsidRPr="00A24F44">
              <w:rPr>
                <w:i/>
                <w:iCs/>
              </w:rPr>
              <w:t xml:space="preserve">The AACC service policy is to ensure that no group or individual’s needs are prioritised (or devalued) over others for reasons relating to </w:t>
            </w:r>
            <w:r>
              <w:rPr>
                <w:i/>
                <w:iCs/>
              </w:rPr>
              <w:t>sexual orientation</w:t>
            </w:r>
            <w:r w:rsidR="006903A5">
              <w:rPr>
                <w:i/>
                <w:iCs/>
              </w:rPr>
              <w:t>, unless required to ensure equity of access and outcomes</w:t>
            </w:r>
            <w:r w:rsidR="006903A5" w:rsidRPr="00A24F44">
              <w:rPr>
                <w:i/>
                <w:iCs/>
              </w:rPr>
              <w:t>.</w:t>
            </w:r>
          </w:p>
        </w:tc>
      </w:tr>
      <w:tr w:rsidR="00543D7B" w:rsidRPr="00F26504" w14:paraId="499FA406"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3877937A" w14:textId="77777777" w:rsidR="00E90CB2" w:rsidRPr="00F26504" w:rsidRDefault="00E90CB2" w:rsidP="003771EC">
            <w:pPr>
              <w:pStyle w:val="NoSpacing"/>
            </w:pPr>
            <w:r>
              <w:t>Transgender/Gender Reassignment</w:t>
            </w:r>
          </w:p>
        </w:tc>
        <w:tc>
          <w:tcPr>
            <w:tcW w:w="629" w:type="pct"/>
            <w:tcBorders>
              <w:top w:val="single" w:sz="4" w:space="0" w:color="auto"/>
              <w:left w:val="single" w:sz="4" w:space="0" w:color="auto"/>
              <w:bottom w:val="single" w:sz="4" w:space="0" w:color="auto"/>
              <w:right w:val="single" w:sz="4" w:space="0" w:color="auto"/>
            </w:tcBorders>
            <w:vAlign w:val="center"/>
          </w:tcPr>
          <w:p w14:paraId="5E619140"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600E2D99"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1AF82F42" w14:textId="5AFAA159" w:rsidR="00E90CB2" w:rsidRPr="00F26504" w:rsidRDefault="00A24F44"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3E39C74D" w14:textId="1FF420CE" w:rsidR="00E90CB2" w:rsidRPr="00F26504" w:rsidRDefault="00A24F44" w:rsidP="003771EC">
            <w:pPr>
              <w:pStyle w:val="NoSpacing"/>
            </w:pPr>
            <w:r w:rsidRPr="00A24F44">
              <w:rPr>
                <w:i/>
                <w:iCs/>
              </w:rPr>
              <w:t xml:space="preserve">The AACC service policy is to ensure that no group or individual’s needs are prioritised (or devalued) over others for reasons relating to </w:t>
            </w:r>
            <w:r>
              <w:rPr>
                <w:i/>
                <w:iCs/>
              </w:rPr>
              <w:t>transgender or gender reassignment</w:t>
            </w:r>
            <w:r w:rsidR="006903A5">
              <w:rPr>
                <w:i/>
                <w:iCs/>
              </w:rPr>
              <w:t>, unless required to ensure equity of access and outcomes</w:t>
            </w:r>
            <w:r w:rsidR="006903A5" w:rsidRPr="00A24F44">
              <w:rPr>
                <w:i/>
                <w:iCs/>
              </w:rPr>
              <w:t>.</w:t>
            </w:r>
          </w:p>
        </w:tc>
      </w:tr>
      <w:tr w:rsidR="00543D7B" w:rsidRPr="00F26504" w14:paraId="70D80FD0"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0C6445DC" w14:textId="77777777" w:rsidR="00E90CB2" w:rsidRPr="00F26504" w:rsidRDefault="00E90CB2" w:rsidP="003771EC">
            <w:pPr>
              <w:pStyle w:val="NoSpacing"/>
            </w:pPr>
            <w:r>
              <w:t>Race and ethnicity</w:t>
            </w:r>
          </w:p>
        </w:tc>
        <w:tc>
          <w:tcPr>
            <w:tcW w:w="629" w:type="pct"/>
            <w:tcBorders>
              <w:top w:val="single" w:sz="4" w:space="0" w:color="auto"/>
              <w:left w:val="single" w:sz="4" w:space="0" w:color="auto"/>
              <w:bottom w:val="single" w:sz="4" w:space="0" w:color="auto"/>
              <w:right w:val="single" w:sz="4" w:space="0" w:color="auto"/>
            </w:tcBorders>
            <w:vAlign w:val="center"/>
          </w:tcPr>
          <w:p w14:paraId="7DD8CDED"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01610878"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028E9161" w14:textId="356BEF54" w:rsidR="00E90CB2" w:rsidRPr="00F26504" w:rsidRDefault="00A24F44"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326BE90B" w14:textId="0F674EB1" w:rsidR="00E90CB2" w:rsidRPr="00F26504" w:rsidRDefault="00A24F44" w:rsidP="003771EC">
            <w:pPr>
              <w:pStyle w:val="NoSpacing"/>
            </w:pPr>
            <w:r w:rsidRPr="00A24F44">
              <w:rPr>
                <w:i/>
                <w:iCs/>
              </w:rPr>
              <w:t>The AACC service policy is to ensure that no group or individual’s needs are prioritised (or devalued) over others for reasons relating to r</w:t>
            </w:r>
            <w:r>
              <w:rPr>
                <w:i/>
                <w:iCs/>
              </w:rPr>
              <w:t>ace or ethnicity</w:t>
            </w:r>
            <w:r w:rsidR="006903A5">
              <w:rPr>
                <w:i/>
                <w:iCs/>
              </w:rPr>
              <w:t>, unless required to ensure equity of access and outcomes</w:t>
            </w:r>
            <w:r w:rsidR="006903A5" w:rsidRPr="00A24F44">
              <w:rPr>
                <w:i/>
                <w:iCs/>
              </w:rPr>
              <w:t>.</w:t>
            </w:r>
          </w:p>
        </w:tc>
      </w:tr>
      <w:tr w:rsidR="00543D7B" w:rsidRPr="00F26504" w14:paraId="551CFC98" w14:textId="77777777" w:rsidTr="00543D7B">
        <w:trPr>
          <w:trHeight w:val="1686"/>
        </w:trPr>
        <w:tc>
          <w:tcPr>
            <w:tcW w:w="1098" w:type="pct"/>
            <w:tcBorders>
              <w:top w:val="single" w:sz="4" w:space="0" w:color="auto"/>
              <w:left w:val="single" w:sz="4" w:space="0" w:color="auto"/>
              <w:bottom w:val="single" w:sz="4" w:space="0" w:color="auto"/>
              <w:right w:val="single" w:sz="4" w:space="0" w:color="auto"/>
            </w:tcBorders>
            <w:vAlign w:val="center"/>
          </w:tcPr>
          <w:p w14:paraId="2BE394B0" w14:textId="77777777" w:rsidR="00E90CB2" w:rsidRPr="00427866" w:rsidRDefault="00E90CB2" w:rsidP="003771EC">
            <w:pPr>
              <w:pStyle w:val="NoSpacing"/>
              <w:rPr>
                <w:rFonts w:cs="Arial"/>
              </w:rPr>
            </w:pPr>
            <w:r w:rsidRPr="00427866">
              <w:rPr>
                <w:rFonts w:cs="Arial"/>
              </w:rPr>
              <w:t>Pregnancy and maternity</w:t>
            </w:r>
            <w:r>
              <w:rPr>
                <w:rFonts w:cs="Arial"/>
              </w:rPr>
              <w:t xml:space="preserve"> (including breastfeeding mothers)</w:t>
            </w:r>
          </w:p>
        </w:tc>
        <w:tc>
          <w:tcPr>
            <w:tcW w:w="629" w:type="pct"/>
            <w:tcBorders>
              <w:top w:val="single" w:sz="4" w:space="0" w:color="auto"/>
              <w:left w:val="single" w:sz="4" w:space="0" w:color="auto"/>
              <w:bottom w:val="single" w:sz="4" w:space="0" w:color="auto"/>
              <w:right w:val="single" w:sz="4" w:space="0" w:color="auto"/>
            </w:tcBorders>
            <w:vAlign w:val="center"/>
          </w:tcPr>
          <w:p w14:paraId="54CBF861"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30049647"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3B05F0FE" w14:textId="6C58FE4E" w:rsidR="00E90CB2" w:rsidRPr="00F26504" w:rsidRDefault="00A24F44"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6DFB19E3" w14:textId="1C051C6E" w:rsidR="00E90CB2" w:rsidRPr="00F26504" w:rsidRDefault="00A24F44" w:rsidP="003771EC">
            <w:pPr>
              <w:pStyle w:val="NoSpacing"/>
            </w:pPr>
            <w:r w:rsidRPr="00A24F44">
              <w:rPr>
                <w:i/>
                <w:iCs/>
              </w:rPr>
              <w:t xml:space="preserve">The AACC service policy is to ensure that no group or individual’s needs are prioritised (or devalued) over others for reasons relating to </w:t>
            </w:r>
            <w:r>
              <w:rPr>
                <w:i/>
                <w:iCs/>
              </w:rPr>
              <w:t>pregnancy or breastfeeding</w:t>
            </w:r>
            <w:r w:rsidR="006903A5">
              <w:rPr>
                <w:i/>
                <w:iCs/>
              </w:rPr>
              <w:t>, unless required to ensure equity of access and outcomes</w:t>
            </w:r>
            <w:r w:rsidR="006903A5" w:rsidRPr="00A24F44">
              <w:rPr>
                <w:i/>
                <w:iCs/>
              </w:rPr>
              <w:t>.</w:t>
            </w:r>
          </w:p>
        </w:tc>
      </w:tr>
      <w:tr w:rsidR="00543D7B" w:rsidRPr="00F26504" w14:paraId="79074D22" w14:textId="77777777" w:rsidTr="00543D7B">
        <w:trPr>
          <w:cantSplit/>
          <w:trHeight w:val="1134"/>
        </w:trPr>
        <w:tc>
          <w:tcPr>
            <w:tcW w:w="1098" w:type="pct"/>
            <w:tcBorders>
              <w:top w:val="single" w:sz="4" w:space="0" w:color="auto"/>
              <w:left w:val="single" w:sz="4" w:space="0" w:color="auto"/>
              <w:bottom w:val="single" w:sz="4" w:space="0" w:color="auto"/>
              <w:right w:val="single" w:sz="4" w:space="0" w:color="auto"/>
            </w:tcBorders>
            <w:vAlign w:val="center"/>
          </w:tcPr>
          <w:p w14:paraId="5413390C" w14:textId="77777777" w:rsidR="00E90CB2" w:rsidRPr="00427866" w:rsidRDefault="00E90CB2" w:rsidP="003771EC">
            <w:pPr>
              <w:pStyle w:val="NoSpacing"/>
              <w:rPr>
                <w:rFonts w:cs="Arial"/>
              </w:rPr>
            </w:pPr>
            <w:r>
              <w:rPr>
                <w:rFonts w:cs="Arial"/>
              </w:rPr>
              <w:t>Marriage or Civil Partnership</w:t>
            </w:r>
          </w:p>
        </w:tc>
        <w:tc>
          <w:tcPr>
            <w:tcW w:w="629" w:type="pct"/>
            <w:tcBorders>
              <w:top w:val="single" w:sz="4" w:space="0" w:color="auto"/>
              <w:left w:val="single" w:sz="4" w:space="0" w:color="auto"/>
              <w:bottom w:val="single" w:sz="4" w:space="0" w:color="auto"/>
              <w:right w:val="single" w:sz="4" w:space="0" w:color="auto"/>
            </w:tcBorders>
            <w:vAlign w:val="center"/>
          </w:tcPr>
          <w:p w14:paraId="0080556F"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565A2F28"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5CCFF556" w14:textId="6BFA68AB" w:rsidR="00E90CB2" w:rsidRPr="00F26504" w:rsidRDefault="00A24F44" w:rsidP="00EB44FF">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3103C773" w14:textId="0A19B588" w:rsidR="00E90CB2" w:rsidRPr="00F26504" w:rsidRDefault="00A24F44" w:rsidP="003771EC">
            <w:pPr>
              <w:pStyle w:val="NoSpacing"/>
            </w:pPr>
            <w:r w:rsidRPr="00A24F44">
              <w:rPr>
                <w:i/>
                <w:iCs/>
              </w:rPr>
              <w:t xml:space="preserve">The AACC service policy is to ensure that no group or individual’s needs are prioritised (or devalued) over others for reasons relating to </w:t>
            </w:r>
            <w:r>
              <w:rPr>
                <w:i/>
                <w:iCs/>
              </w:rPr>
              <w:t>marital status</w:t>
            </w:r>
            <w:r w:rsidR="006903A5">
              <w:rPr>
                <w:i/>
                <w:iCs/>
              </w:rPr>
              <w:t>, unless required to ensure equity of access and outcomes</w:t>
            </w:r>
            <w:r w:rsidR="006903A5" w:rsidRPr="00A24F44">
              <w:rPr>
                <w:i/>
                <w:iCs/>
              </w:rPr>
              <w:t>.</w:t>
            </w:r>
          </w:p>
        </w:tc>
      </w:tr>
    </w:tbl>
    <w:p w14:paraId="1AF47069" w14:textId="77777777" w:rsidR="00A24F44" w:rsidRDefault="00A24F44">
      <w:pPr>
        <w:spacing w:before="0" w:after="0"/>
        <w:ind w:left="0"/>
      </w:pPr>
      <w:bookmarkStart w:id="114" w:name="_Toc89326559"/>
    </w:p>
    <w:p w14:paraId="7B528381" w14:textId="77777777" w:rsidR="00D9038F" w:rsidRPr="00182901" w:rsidRDefault="00D9038F" w:rsidP="00201DAA">
      <w:pPr>
        <w:pStyle w:val="Heading4"/>
      </w:pPr>
      <w:r w:rsidRPr="00873D77">
        <w:t xml:space="preserve">Monitoring </w:t>
      </w:r>
      <w:r w:rsidRPr="00D9038F">
        <w:t>Outcomes</w:t>
      </w:r>
      <w:bookmarkEnd w:id="114"/>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873D77" w:rsidRDefault="00D9038F" w:rsidP="00741D9B">
      <w:pPr>
        <w:ind w:left="0"/>
      </w:pPr>
      <w:r w:rsidRPr="00873D77">
        <w:t xml:space="preserve">What methods will you </w:t>
      </w:r>
      <w:r w:rsidRPr="00D9038F">
        <w:t>use</w:t>
      </w:r>
      <w:r w:rsidRPr="00873D77">
        <w:t xml:space="preserve"> to monitor outcomes on protected groups?</w:t>
      </w:r>
    </w:p>
    <w:p w14:paraId="1C4ADBC1" w14:textId="5568EA3B" w:rsidR="00D9038F" w:rsidRDefault="00721351" w:rsidP="00A24F44">
      <w:pPr>
        <w:ind w:left="0"/>
        <w:jc w:val="both"/>
        <w:rPr>
          <w:i/>
          <w:iCs/>
          <w:color w:val="auto"/>
        </w:rPr>
      </w:pPr>
      <w:r w:rsidRPr="00721351">
        <w:rPr>
          <w:i/>
          <w:iCs/>
          <w:color w:val="auto"/>
        </w:rPr>
        <w:t xml:space="preserve">The AACC service is intending to utilise the outputs from continuous </w:t>
      </w:r>
      <w:r>
        <w:rPr>
          <w:i/>
          <w:iCs/>
          <w:color w:val="auto"/>
        </w:rPr>
        <w:t xml:space="preserve">‘internal’ </w:t>
      </w:r>
      <w:r w:rsidR="002148CE">
        <w:rPr>
          <w:i/>
          <w:iCs/>
          <w:color w:val="auto"/>
        </w:rPr>
        <w:t>individual</w:t>
      </w:r>
      <w:r w:rsidRPr="00721351">
        <w:rPr>
          <w:i/>
          <w:iCs/>
          <w:color w:val="auto"/>
        </w:rPr>
        <w:t xml:space="preserve"> surveys alongside lessons learned from </w:t>
      </w:r>
      <w:r>
        <w:rPr>
          <w:i/>
          <w:iCs/>
          <w:color w:val="auto"/>
        </w:rPr>
        <w:t xml:space="preserve">external feedback (e.g. Healthwatch, </w:t>
      </w:r>
      <w:r w:rsidR="002148CE">
        <w:rPr>
          <w:i/>
          <w:iCs/>
          <w:color w:val="auto"/>
        </w:rPr>
        <w:t>individual</w:t>
      </w:r>
      <w:r>
        <w:rPr>
          <w:i/>
          <w:iCs/>
          <w:color w:val="auto"/>
        </w:rPr>
        <w:t xml:space="preserve"> forums), </w:t>
      </w:r>
      <w:r w:rsidRPr="00721351">
        <w:rPr>
          <w:i/>
          <w:iCs/>
          <w:color w:val="auto"/>
        </w:rPr>
        <w:t xml:space="preserve">compliments, concerns, formal complaints, incidents and other ad-hoc </w:t>
      </w:r>
      <w:r>
        <w:rPr>
          <w:i/>
          <w:iCs/>
          <w:color w:val="auto"/>
        </w:rPr>
        <w:t xml:space="preserve">intelligence </w:t>
      </w:r>
      <w:r w:rsidRPr="00721351">
        <w:rPr>
          <w:i/>
          <w:iCs/>
          <w:color w:val="auto"/>
        </w:rPr>
        <w:t xml:space="preserve">sources to monitor outcomes on protected groups.   </w:t>
      </w:r>
    </w:p>
    <w:p w14:paraId="7EDD3208" w14:textId="77777777" w:rsidR="00D9038F" w:rsidRPr="00873D77" w:rsidRDefault="00D9038F" w:rsidP="00201DAA">
      <w:pPr>
        <w:pStyle w:val="Heading4"/>
      </w:pPr>
      <w:bookmarkStart w:id="115" w:name="_Toc89326560"/>
      <w:r w:rsidRPr="00D9038F">
        <w:t>Review</w:t>
      </w:r>
      <w:bookmarkEnd w:id="115"/>
    </w:p>
    <w:p w14:paraId="06D56295" w14:textId="77777777" w:rsidR="00D9038F" w:rsidRPr="00873D77" w:rsidRDefault="00D9038F" w:rsidP="00741D9B">
      <w:pPr>
        <w:ind w:left="0"/>
      </w:pPr>
      <w:r w:rsidRPr="00873D77">
        <w:t xml:space="preserve">How often will you review this policy / service? </w:t>
      </w:r>
      <w:r w:rsidRPr="00873D77">
        <w:br/>
        <w:t>(Minimum every three years)</w:t>
      </w:r>
    </w:p>
    <w:p w14:paraId="27ECCBF3" w14:textId="2B17B360" w:rsidR="00D9038F" w:rsidRPr="00721351" w:rsidRDefault="00721351" w:rsidP="00A24F44">
      <w:pPr>
        <w:ind w:left="0"/>
        <w:jc w:val="both"/>
        <w:rPr>
          <w:i/>
          <w:iCs/>
        </w:rPr>
      </w:pPr>
      <w:r w:rsidRPr="00721351">
        <w:rPr>
          <w:i/>
          <w:iCs/>
        </w:rPr>
        <w:t>This AACC policy will be reviewed at least every two years</w:t>
      </w:r>
      <w:r>
        <w:rPr>
          <w:i/>
          <w:iCs/>
        </w:rPr>
        <w:t xml:space="preserve">, or where any change to legislation and guidance impacts on the implementation of the policy. </w:t>
      </w:r>
    </w:p>
    <w:sectPr w:rsidR="00D9038F" w:rsidRPr="00721351" w:rsidSect="009F30CA">
      <w:headerReference w:type="default" r:id="rId15"/>
      <w:footerReference w:type="default" r:id="rId16"/>
      <w:headerReference w:type="first" r:id="rId17"/>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9E33" w14:textId="77777777" w:rsidR="00587C7F" w:rsidRDefault="00587C7F" w:rsidP="00EB783D">
      <w:pPr>
        <w:spacing w:before="0" w:after="0"/>
      </w:pPr>
      <w:r>
        <w:separator/>
      </w:r>
    </w:p>
  </w:endnote>
  <w:endnote w:type="continuationSeparator" w:id="0">
    <w:p w14:paraId="0F309FC7" w14:textId="77777777" w:rsidR="00587C7F" w:rsidRDefault="00587C7F"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1858D265" w:rsidR="00712660" w:rsidRPr="00A91472" w:rsidRDefault="00587C7F"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712660">
          <w:t xml:space="preserve">MSEICB068 All Age Continuing Care Operational </w:t>
        </w:r>
        <w:r w:rsidR="00712660" w:rsidRPr="00C819CD">
          <w:t>Policy</w:t>
        </w:r>
        <w:r w:rsidR="00712660">
          <w:t xml:space="preserve"> V1.0</w:t>
        </w:r>
      </w:sdtContent>
    </w:sdt>
    <w:r w:rsidR="00712660" w:rsidRPr="00C1239F">
      <w:tab/>
    </w:r>
    <w:r w:rsidR="00712660" w:rsidRPr="00C90341">
      <w:t xml:space="preserve">Page </w:t>
    </w:r>
    <w:r w:rsidR="00712660" w:rsidRPr="00C90341">
      <w:fldChar w:fldCharType="begin"/>
    </w:r>
    <w:r w:rsidR="00712660" w:rsidRPr="00C90341">
      <w:instrText xml:space="preserve"> PAGE </w:instrText>
    </w:r>
    <w:r w:rsidR="00712660" w:rsidRPr="00C90341">
      <w:fldChar w:fldCharType="separate"/>
    </w:r>
    <w:r w:rsidR="00712660">
      <w:t>2</w:t>
    </w:r>
    <w:r w:rsidR="00712660" w:rsidRPr="00C90341">
      <w:fldChar w:fldCharType="end"/>
    </w:r>
    <w:r w:rsidR="00712660" w:rsidRPr="00C90341">
      <w:t xml:space="preserve"> of </w:t>
    </w:r>
    <w:r>
      <w:fldChar w:fldCharType="begin"/>
    </w:r>
    <w:r>
      <w:instrText xml:space="preserve"> NUMPAGES </w:instrText>
    </w:r>
    <w:r>
      <w:fldChar w:fldCharType="separate"/>
    </w:r>
    <w:r w:rsidR="00712660">
      <w:t>11</w:t>
    </w:r>
    <w:r>
      <w:fldChar w:fldCharType="end"/>
    </w:r>
  </w:p>
  <w:p w14:paraId="387B9B1B" w14:textId="77777777" w:rsidR="00712660" w:rsidRDefault="00712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2AA8" w14:textId="77777777" w:rsidR="00587C7F" w:rsidRDefault="00587C7F" w:rsidP="00EB783D">
      <w:pPr>
        <w:spacing w:before="0" w:after="0"/>
      </w:pPr>
      <w:r>
        <w:separator/>
      </w:r>
    </w:p>
  </w:footnote>
  <w:footnote w:type="continuationSeparator" w:id="0">
    <w:p w14:paraId="0E5F2EF6" w14:textId="77777777" w:rsidR="00587C7F" w:rsidRDefault="00587C7F"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288D9C03" w:rsidR="00712660" w:rsidRDefault="00712660"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0113ADF1" w:rsidR="00712660" w:rsidRDefault="00B64B18">
    <w:pPr>
      <w:pStyle w:val="Header"/>
    </w:pPr>
    <w:r>
      <w:rPr>
        <w:noProof/>
      </w:rPr>
      <mc:AlternateContent>
        <mc:Choice Requires="wpg">
          <w:drawing>
            <wp:anchor distT="0" distB="0" distL="114300" distR="114300" simplePos="0" relativeHeight="251669504" behindDoc="0" locked="0" layoutInCell="1" allowOverlap="1" wp14:anchorId="6B049BF0" wp14:editId="63DBACA5">
              <wp:simplePos x="0" y="0"/>
              <wp:positionH relativeFrom="column">
                <wp:posOffset>-53788</wp:posOffset>
              </wp:positionH>
              <wp:positionV relativeFrom="paragraph">
                <wp:posOffset>-342428</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23C448AB" id="Group 3" o:spid="_x0000_s1026" style="position:absolute;margin-left:-4.25pt;margin-top:-26.95pt;width:470.55pt;height:61.25pt;z-index:25166950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Cfnh+M4AAAAAkBAAAPAAAAZHJzL2Rvd25yZXYueG1s&#10;TI/BaoNAEIbvhb7DMoXektWIYqxrCKHtKRSaFEpvG52oxJ0Vd6Pm7Ts9NadhmI9/vj/fzKYTIw6u&#10;taQgXAYgkEpbtVQr+Dq+LVIQzmuqdGcJFdzQwaZ4fMh1VtmJPnE8+FpwCLlMK2i87zMpXdmg0W5p&#10;eyS+ne1gtOd1qGU16InDTSdXQZBIo1viD43ucddgeTlcjYL3SU/bKHwd95fz7vZzjD++9yEq9fw0&#10;b19AeJz9Pwx/+qwOBTud7JUqJzoFizRmkmccrUEwsI5WCYiTgiRNQBa5vG9Q/AI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BAi0AFAAGAAgAAAAhAIoVP5gMAQAAFQIAABMAAAAAAAAAAAAA&#10;AAAAAAAAAFtDb250ZW50X1R5cGVzXS54bWxQSwECLQAUAAYACAAAACEAOP0h/9YAAACUAQAACwAA&#10;AAAAAAAAAAAAAAA9AQAAX3JlbHMvLnJlbHNQSwECLQAUAAYACAAAACEAVqzE1HkCAAB+BwAADgAA&#10;AAAAAAAAAAAAAAA8AgAAZHJzL2Uyb0RvYy54bWxQSwECLQAKAAAAAAAAACEApTLeeYlvAACJbwAA&#10;FQAAAAAAAAAAAAAAAADhBAAAZHJzL21lZGlhL2ltYWdlMS5qcGVnUEsBAi0ACgAAAAAAAAAhAPeA&#10;vdegUwAAoFMAABUAAAAAAAAAAAAAAAAAnXQAAGRycy9tZWRpYS9pbWFnZTIuanBlZ1BLAQItABQA&#10;BgAIAAAAIQCfnh+M4AAAAAkBAAAPAAAAAAAAAAAAAAAAAHDIAABkcnMvZG93bnJldi54bWxQSwEC&#10;LQAUAAYACAAAACEAGZS7ycMAAACnAQAAGQAAAAAAAAAAAAAAAAB9yQAAZHJzL19yZWxzL2Uyb0Rv&#10;Yy54bWwucmVsc1BLBQYAAAAABwAHAMABAAB3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0E9B"/>
    <w:multiLevelType w:val="hybridMultilevel"/>
    <w:tmpl w:val="1A06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5551BB"/>
    <w:multiLevelType w:val="hybridMultilevel"/>
    <w:tmpl w:val="7B76044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0B71DD"/>
    <w:multiLevelType w:val="hybridMultilevel"/>
    <w:tmpl w:val="65FA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6433112"/>
    <w:multiLevelType w:val="hybridMultilevel"/>
    <w:tmpl w:val="68B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5520E"/>
    <w:multiLevelType w:val="hybridMultilevel"/>
    <w:tmpl w:val="461A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AA67DB"/>
    <w:multiLevelType w:val="hybridMultilevel"/>
    <w:tmpl w:val="606C822A"/>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2A1B65"/>
    <w:multiLevelType w:val="hybridMultilevel"/>
    <w:tmpl w:val="4712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E2270D"/>
    <w:multiLevelType w:val="hybridMultilevel"/>
    <w:tmpl w:val="D44C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AE2F19"/>
    <w:multiLevelType w:val="hybridMultilevel"/>
    <w:tmpl w:val="32B6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46DE3"/>
    <w:multiLevelType w:val="multilevel"/>
    <w:tmpl w:val="D8C825A2"/>
    <w:lvl w:ilvl="0">
      <w:start w:val="7"/>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8B2D99"/>
    <w:multiLevelType w:val="hybridMultilevel"/>
    <w:tmpl w:val="1C16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F9B541B"/>
    <w:multiLevelType w:val="hybridMultilevel"/>
    <w:tmpl w:val="221C0408"/>
    <w:lvl w:ilvl="0" w:tplc="08090001">
      <w:start w:val="1"/>
      <w:numFmt w:val="bullet"/>
      <w:lvlText w:val=""/>
      <w:lvlJc w:val="left"/>
      <w:pPr>
        <w:ind w:left="1848" w:hanging="360"/>
      </w:pPr>
      <w:rPr>
        <w:rFonts w:ascii="Symbol" w:hAnsi="Symbol" w:hint="default"/>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abstractNum w:abstractNumId="22" w15:restartNumberingAfterBreak="0">
    <w:nsid w:val="73764C28"/>
    <w:multiLevelType w:val="hybridMultilevel"/>
    <w:tmpl w:val="C860AE86"/>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6"/>
  </w:num>
  <w:num w:numId="4">
    <w:abstractNumId w:val="3"/>
  </w:num>
  <w:num w:numId="5">
    <w:abstractNumId w:val="11"/>
  </w:num>
  <w:num w:numId="6">
    <w:abstractNumId w:val="15"/>
  </w:num>
  <w:num w:numId="7">
    <w:abstractNumId w:val="4"/>
  </w:num>
  <w:num w:numId="8">
    <w:abstractNumId w:val="22"/>
  </w:num>
  <w:num w:numId="9">
    <w:abstractNumId w:val="1"/>
  </w:num>
  <w:num w:numId="10">
    <w:abstractNumId w:val="9"/>
  </w:num>
  <w:num w:numId="11">
    <w:abstractNumId w:val="20"/>
  </w:num>
  <w:num w:numId="12">
    <w:abstractNumId w:val="10"/>
  </w:num>
  <w:num w:numId="13">
    <w:abstractNumId w:val="21"/>
  </w:num>
  <w:num w:numId="14">
    <w:abstractNumId w:val="14"/>
  </w:num>
  <w:num w:numId="15">
    <w:abstractNumId w:val="17"/>
  </w:num>
  <w:num w:numId="16">
    <w:abstractNumId w:val="8"/>
  </w:num>
  <w:num w:numId="17">
    <w:abstractNumId w:val="19"/>
  </w:num>
  <w:num w:numId="18">
    <w:abstractNumId w:val="12"/>
  </w:num>
  <w:num w:numId="19">
    <w:abstractNumId w:val="5"/>
  </w:num>
  <w:num w:numId="20">
    <w:abstractNumId w:val="2"/>
  </w:num>
  <w:num w:numId="21">
    <w:abstractNumId w:val="7"/>
  </w:num>
  <w:num w:numId="22">
    <w:abstractNumId w:val="0"/>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2980"/>
    <w:rsid w:val="00002A86"/>
    <w:rsid w:val="00003195"/>
    <w:rsid w:val="00005E44"/>
    <w:rsid w:val="00014222"/>
    <w:rsid w:val="00017123"/>
    <w:rsid w:val="000207BF"/>
    <w:rsid w:val="0002121D"/>
    <w:rsid w:val="00030552"/>
    <w:rsid w:val="00032882"/>
    <w:rsid w:val="000329F8"/>
    <w:rsid w:val="00033ADA"/>
    <w:rsid w:val="00034121"/>
    <w:rsid w:val="00043C80"/>
    <w:rsid w:val="00047CB7"/>
    <w:rsid w:val="00053C2B"/>
    <w:rsid w:val="00053CDD"/>
    <w:rsid w:val="00061605"/>
    <w:rsid w:val="000665B0"/>
    <w:rsid w:val="00066BC5"/>
    <w:rsid w:val="00071E03"/>
    <w:rsid w:val="00072C8A"/>
    <w:rsid w:val="00080743"/>
    <w:rsid w:val="00082AB2"/>
    <w:rsid w:val="00087D5F"/>
    <w:rsid w:val="000931A3"/>
    <w:rsid w:val="00094FB7"/>
    <w:rsid w:val="000A1566"/>
    <w:rsid w:val="000A6712"/>
    <w:rsid w:val="000B0A68"/>
    <w:rsid w:val="000B0E82"/>
    <w:rsid w:val="000B5141"/>
    <w:rsid w:val="000C04BC"/>
    <w:rsid w:val="000C63EC"/>
    <w:rsid w:val="000D34EE"/>
    <w:rsid w:val="000E4DAE"/>
    <w:rsid w:val="000F560D"/>
    <w:rsid w:val="000F723D"/>
    <w:rsid w:val="00116B88"/>
    <w:rsid w:val="001372BC"/>
    <w:rsid w:val="00137B4C"/>
    <w:rsid w:val="00145E41"/>
    <w:rsid w:val="00151E74"/>
    <w:rsid w:val="00161F06"/>
    <w:rsid w:val="00165D67"/>
    <w:rsid w:val="00170743"/>
    <w:rsid w:val="00176066"/>
    <w:rsid w:val="00180E29"/>
    <w:rsid w:val="00182901"/>
    <w:rsid w:val="0018348A"/>
    <w:rsid w:val="00185326"/>
    <w:rsid w:val="00185C09"/>
    <w:rsid w:val="00186694"/>
    <w:rsid w:val="00190813"/>
    <w:rsid w:val="001946F0"/>
    <w:rsid w:val="001B214F"/>
    <w:rsid w:val="001B40BE"/>
    <w:rsid w:val="001B46E9"/>
    <w:rsid w:val="001C20FE"/>
    <w:rsid w:val="001C2724"/>
    <w:rsid w:val="001C35F7"/>
    <w:rsid w:val="001C58C4"/>
    <w:rsid w:val="001D22EC"/>
    <w:rsid w:val="001D2701"/>
    <w:rsid w:val="001D4062"/>
    <w:rsid w:val="001D6DD0"/>
    <w:rsid w:val="001E7ABD"/>
    <w:rsid w:val="001F6BB5"/>
    <w:rsid w:val="001F71F6"/>
    <w:rsid w:val="00201DAA"/>
    <w:rsid w:val="002148CE"/>
    <w:rsid w:val="00221DA5"/>
    <w:rsid w:val="00225AB9"/>
    <w:rsid w:val="00227E04"/>
    <w:rsid w:val="00227FB5"/>
    <w:rsid w:val="00230DD5"/>
    <w:rsid w:val="00233CEB"/>
    <w:rsid w:val="00234E92"/>
    <w:rsid w:val="00240188"/>
    <w:rsid w:val="0024379C"/>
    <w:rsid w:val="002501B2"/>
    <w:rsid w:val="00250FB0"/>
    <w:rsid w:val="00254FFE"/>
    <w:rsid w:val="00255270"/>
    <w:rsid w:val="00265BC6"/>
    <w:rsid w:val="00284140"/>
    <w:rsid w:val="00291C59"/>
    <w:rsid w:val="002926CA"/>
    <w:rsid w:val="002A4A81"/>
    <w:rsid w:val="002B3BF3"/>
    <w:rsid w:val="002B68B0"/>
    <w:rsid w:val="002D49C2"/>
    <w:rsid w:val="002E0EB8"/>
    <w:rsid w:val="002E4D2D"/>
    <w:rsid w:val="002F10FE"/>
    <w:rsid w:val="002F7565"/>
    <w:rsid w:val="00304DCD"/>
    <w:rsid w:val="0031226D"/>
    <w:rsid w:val="003139BF"/>
    <w:rsid w:val="00324D0B"/>
    <w:rsid w:val="00325B1B"/>
    <w:rsid w:val="00331F09"/>
    <w:rsid w:val="003362A2"/>
    <w:rsid w:val="003437B0"/>
    <w:rsid w:val="00343A4F"/>
    <w:rsid w:val="0034586A"/>
    <w:rsid w:val="00353C19"/>
    <w:rsid w:val="003667B7"/>
    <w:rsid w:val="00372A42"/>
    <w:rsid w:val="00373BB4"/>
    <w:rsid w:val="00373E8C"/>
    <w:rsid w:val="00375DF6"/>
    <w:rsid w:val="003771EC"/>
    <w:rsid w:val="00380D2A"/>
    <w:rsid w:val="0038140E"/>
    <w:rsid w:val="003845FA"/>
    <w:rsid w:val="00390B99"/>
    <w:rsid w:val="00393B60"/>
    <w:rsid w:val="003A0076"/>
    <w:rsid w:val="003A663C"/>
    <w:rsid w:val="003A6E24"/>
    <w:rsid w:val="003B310D"/>
    <w:rsid w:val="003C0700"/>
    <w:rsid w:val="003C4CC3"/>
    <w:rsid w:val="003C6732"/>
    <w:rsid w:val="003C6E42"/>
    <w:rsid w:val="003D7B50"/>
    <w:rsid w:val="003E058C"/>
    <w:rsid w:val="00400E66"/>
    <w:rsid w:val="00416BD7"/>
    <w:rsid w:val="00416C21"/>
    <w:rsid w:val="00432EB3"/>
    <w:rsid w:val="0043455F"/>
    <w:rsid w:val="00435EC8"/>
    <w:rsid w:val="00436A36"/>
    <w:rsid w:val="004414D1"/>
    <w:rsid w:val="0045037E"/>
    <w:rsid w:val="0045684C"/>
    <w:rsid w:val="00461861"/>
    <w:rsid w:val="00480B93"/>
    <w:rsid w:val="004840B7"/>
    <w:rsid w:val="00485C1F"/>
    <w:rsid w:val="00485DCC"/>
    <w:rsid w:val="004A1ADD"/>
    <w:rsid w:val="004A4C30"/>
    <w:rsid w:val="004A7D0B"/>
    <w:rsid w:val="004B1353"/>
    <w:rsid w:val="004B436F"/>
    <w:rsid w:val="004C42EB"/>
    <w:rsid w:val="004D4129"/>
    <w:rsid w:val="004E1060"/>
    <w:rsid w:val="004E42BE"/>
    <w:rsid w:val="004E63C2"/>
    <w:rsid w:val="004F11C6"/>
    <w:rsid w:val="004F28BF"/>
    <w:rsid w:val="00504C60"/>
    <w:rsid w:val="0050696F"/>
    <w:rsid w:val="00514203"/>
    <w:rsid w:val="00520790"/>
    <w:rsid w:val="00521C57"/>
    <w:rsid w:val="00524F47"/>
    <w:rsid w:val="00527AF8"/>
    <w:rsid w:val="00543D7B"/>
    <w:rsid w:val="00544FA6"/>
    <w:rsid w:val="00545095"/>
    <w:rsid w:val="00546A28"/>
    <w:rsid w:val="005522EB"/>
    <w:rsid w:val="00562866"/>
    <w:rsid w:val="00564985"/>
    <w:rsid w:val="00564D04"/>
    <w:rsid w:val="005703D7"/>
    <w:rsid w:val="00572019"/>
    <w:rsid w:val="00581CF0"/>
    <w:rsid w:val="00583543"/>
    <w:rsid w:val="005848B3"/>
    <w:rsid w:val="00587C7F"/>
    <w:rsid w:val="005B2347"/>
    <w:rsid w:val="005B333B"/>
    <w:rsid w:val="005B5D86"/>
    <w:rsid w:val="005B74F5"/>
    <w:rsid w:val="005B7E45"/>
    <w:rsid w:val="005D241B"/>
    <w:rsid w:val="005D3AB5"/>
    <w:rsid w:val="005E26BF"/>
    <w:rsid w:val="005E4B15"/>
    <w:rsid w:val="005E62A4"/>
    <w:rsid w:val="005F78C9"/>
    <w:rsid w:val="00602823"/>
    <w:rsid w:val="00610177"/>
    <w:rsid w:val="006134A1"/>
    <w:rsid w:val="00620152"/>
    <w:rsid w:val="006227BB"/>
    <w:rsid w:val="00626D7B"/>
    <w:rsid w:val="00630105"/>
    <w:rsid w:val="00630678"/>
    <w:rsid w:val="00632E13"/>
    <w:rsid w:val="00633B8B"/>
    <w:rsid w:val="00642116"/>
    <w:rsid w:val="00642F54"/>
    <w:rsid w:val="00645A94"/>
    <w:rsid w:val="00653C88"/>
    <w:rsid w:val="00655FE9"/>
    <w:rsid w:val="006606C1"/>
    <w:rsid w:val="00670BD2"/>
    <w:rsid w:val="00672B45"/>
    <w:rsid w:val="006765FA"/>
    <w:rsid w:val="00677D27"/>
    <w:rsid w:val="00682B6D"/>
    <w:rsid w:val="0068694C"/>
    <w:rsid w:val="006903A5"/>
    <w:rsid w:val="00691297"/>
    <w:rsid w:val="006A3B30"/>
    <w:rsid w:val="006B3E9C"/>
    <w:rsid w:val="006C547C"/>
    <w:rsid w:val="006E7A62"/>
    <w:rsid w:val="006F46F1"/>
    <w:rsid w:val="00706434"/>
    <w:rsid w:val="0070700E"/>
    <w:rsid w:val="00712660"/>
    <w:rsid w:val="00716D9A"/>
    <w:rsid w:val="00721351"/>
    <w:rsid w:val="007218E3"/>
    <w:rsid w:val="0072271B"/>
    <w:rsid w:val="00724C9B"/>
    <w:rsid w:val="007256B5"/>
    <w:rsid w:val="00727D6D"/>
    <w:rsid w:val="00732AFE"/>
    <w:rsid w:val="00735A37"/>
    <w:rsid w:val="0073710F"/>
    <w:rsid w:val="00741B93"/>
    <w:rsid w:val="00741D9B"/>
    <w:rsid w:val="0074594B"/>
    <w:rsid w:val="00757F23"/>
    <w:rsid w:val="00771B17"/>
    <w:rsid w:val="00776558"/>
    <w:rsid w:val="00781F15"/>
    <w:rsid w:val="00787000"/>
    <w:rsid w:val="007876A8"/>
    <w:rsid w:val="007933FA"/>
    <w:rsid w:val="00795A0A"/>
    <w:rsid w:val="007A721B"/>
    <w:rsid w:val="007C13E6"/>
    <w:rsid w:val="007D29C0"/>
    <w:rsid w:val="007D5498"/>
    <w:rsid w:val="007D5825"/>
    <w:rsid w:val="007D5D3C"/>
    <w:rsid w:val="007E49B5"/>
    <w:rsid w:val="007E57F5"/>
    <w:rsid w:val="007F1A8F"/>
    <w:rsid w:val="007F6641"/>
    <w:rsid w:val="00800CF1"/>
    <w:rsid w:val="008051D6"/>
    <w:rsid w:val="00820CF1"/>
    <w:rsid w:val="008260E1"/>
    <w:rsid w:val="00826D33"/>
    <w:rsid w:val="00830252"/>
    <w:rsid w:val="008344D6"/>
    <w:rsid w:val="0084134D"/>
    <w:rsid w:val="00843CF9"/>
    <w:rsid w:val="00844D34"/>
    <w:rsid w:val="00845208"/>
    <w:rsid w:val="008507F0"/>
    <w:rsid w:val="00851D05"/>
    <w:rsid w:val="00863451"/>
    <w:rsid w:val="00864A1B"/>
    <w:rsid w:val="00871263"/>
    <w:rsid w:val="00874654"/>
    <w:rsid w:val="00887F23"/>
    <w:rsid w:val="0089357D"/>
    <w:rsid w:val="00896186"/>
    <w:rsid w:val="008A0F58"/>
    <w:rsid w:val="008A12AE"/>
    <w:rsid w:val="008B2D55"/>
    <w:rsid w:val="008C0562"/>
    <w:rsid w:val="008C3A42"/>
    <w:rsid w:val="008D034C"/>
    <w:rsid w:val="008D210D"/>
    <w:rsid w:val="008E0539"/>
    <w:rsid w:val="008E15EA"/>
    <w:rsid w:val="008E1A22"/>
    <w:rsid w:val="008E42CC"/>
    <w:rsid w:val="008E4397"/>
    <w:rsid w:val="008F04F0"/>
    <w:rsid w:val="008F6C8F"/>
    <w:rsid w:val="009102C2"/>
    <w:rsid w:val="00911C7E"/>
    <w:rsid w:val="00925198"/>
    <w:rsid w:val="00927636"/>
    <w:rsid w:val="00945817"/>
    <w:rsid w:val="009463FD"/>
    <w:rsid w:val="00946E8E"/>
    <w:rsid w:val="00952895"/>
    <w:rsid w:val="00952B15"/>
    <w:rsid w:val="00955E43"/>
    <w:rsid w:val="00962282"/>
    <w:rsid w:val="00963066"/>
    <w:rsid w:val="0096475D"/>
    <w:rsid w:val="00967546"/>
    <w:rsid w:val="00967C46"/>
    <w:rsid w:val="00970529"/>
    <w:rsid w:val="009708B5"/>
    <w:rsid w:val="009769B3"/>
    <w:rsid w:val="009834B4"/>
    <w:rsid w:val="009A513F"/>
    <w:rsid w:val="009A7716"/>
    <w:rsid w:val="009B309D"/>
    <w:rsid w:val="009B3974"/>
    <w:rsid w:val="009C2F81"/>
    <w:rsid w:val="009C506B"/>
    <w:rsid w:val="009C523D"/>
    <w:rsid w:val="009D1227"/>
    <w:rsid w:val="009E4D57"/>
    <w:rsid w:val="009E5B43"/>
    <w:rsid w:val="009E6CD2"/>
    <w:rsid w:val="009E7F68"/>
    <w:rsid w:val="009F30CA"/>
    <w:rsid w:val="009F46DD"/>
    <w:rsid w:val="009F76DB"/>
    <w:rsid w:val="00A02D22"/>
    <w:rsid w:val="00A02F76"/>
    <w:rsid w:val="00A10661"/>
    <w:rsid w:val="00A16E5D"/>
    <w:rsid w:val="00A2129C"/>
    <w:rsid w:val="00A23003"/>
    <w:rsid w:val="00A24F44"/>
    <w:rsid w:val="00A309C1"/>
    <w:rsid w:val="00A34A1D"/>
    <w:rsid w:val="00A41B14"/>
    <w:rsid w:val="00A50152"/>
    <w:rsid w:val="00A50F2C"/>
    <w:rsid w:val="00A51A0F"/>
    <w:rsid w:val="00A84684"/>
    <w:rsid w:val="00A86F27"/>
    <w:rsid w:val="00A91D29"/>
    <w:rsid w:val="00A94FA3"/>
    <w:rsid w:val="00AA0C4F"/>
    <w:rsid w:val="00AA1CB5"/>
    <w:rsid w:val="00AA23CF"/>
    <w:rsid w:val="00AA6F15"/>
    <w:rsid w:val="00AC0034"/>
    <w:rsid w:val="00AC0B7D"/>
    <w:rsid w:val="00AD335F"/>
    <w:rsid w:val="00AD651B"/>
    <w:rsid w:val="00AD689C"/>
    <w:rsid w:val="00AD7D10"/>
    <w:rsid w:val="00AE3317"/>
    <w:rsid w:val="00AE3E3F"/>
    <w:rsid w:val="00AE6ADB"/>
    <w:rsid w:val="00AF1E79"/>
    <w:rsid w:val="00AF3165"/>
    <w:rsid w:val="00AF5DAF"/>
    <w:rsid w:val="00B047A2"/>
    <w:rsid w:val="00B078A7"/>
    <w:rsid w:val="00B1558D"/>
    <w:rsid w:val="00B218EE"/>
    <w:rsid w:val="00B26E08"/>
    <w:rsid w:val="00B31CD9"/>
    <w:rsid w:val="00B323CA"/>
    <w:rsid w:val="00B3444F"/>
    <w:rsid w:val="00B420E7"/>
    <w:rsid w:val="00B461BE"/>
    <w:rsid w:val="00B46BD6"/>
    <w:rsid w:val="00B551A7"/>
    <w:rsid w:val="00B57B79"/>
    <w:rsid w:val="00B62B7D"/>
    <w:rsid w:val="00B64B18"/>
    <w:rsid w:val="00B6660C"/>
    <w:rsid w:val="00B74953"/>
    <w:rsid w:val="00B80EAE"/>
    <w:rsid w:val="00B9694F"/>
    <w:rsid w:val="00BA0D09"/>
    <w:rsid w:val="00BB3BEC"/>
    <w:rsid w:val="00BB434D"/>
    <w:rsid w:val="00BB5FA9"/>
    <w:rsid w:val="00BB7A94"/>
    <w:rsid w:val="00BC1EC8"/>
    <w:rsid w:val="00BC2869"/>
    <w:rsid w:val="00BC6324"/>
    <w:rsid w:val="00BC7182"/>
    <w:rsid w:val="00BD36DA"/>
    <w:rsid w:val="00BF2185"/>
    <w:rsid w:val="00C03CA1"/>
    <w:rsid w:val="00C050AC"/>
    <w:rsid w:val="00C1100B"/>
    <w:rsid w:val="00C211E8"/>
    <w:rsid w:val="00C27B6E"/>
    <w:rsid w:val="00C31806"/>
    <w:rsid w:val="00C31AB2"/>
    <w:rsid w:val="00C34362"/>
    <w:rsid w:val="00C349B6"/>
    <w:rsid w:val="00C4088C"/>
    <w:rsid w:val="00C41B24"/>
    <w:rsid w:val="00C43154"/>
    <w:rsid w:val="00C43E89"/>
    <w:rsid w:val="00C4620F"/>
    <w:rsid w:val="00C57C1D"/>
    <w:rsid w:val="00C65AE6"/>
    <w:rsid w:val="00C7356E"/>
    <w:rsid w:val="00C819CD"/>
    <w:rsid w:val="00C84261"/>
    <w:rsid w:val="00C90953"/>
    <w:rsid w:val="00C90A12"/>
    <w:rsid w:val="00C93373"/>
    <w:rsid w:val="00CA06C5"/>
    <w:rsid w:val="00CA1189"/>
    <w:rsid w:val="00CB77B3"/>
    <w:rsid w:val="00CD42F9"/>
    <w:rsid w:val="00CE1298"/>
    <w:rsid w:val="00CF1235"/>
    <w:rsid w:val="00CF5DD2"/>
    <w:rsid w:val="00D022B0"/>
    <w:rsid w:val="00D035FD"/>
    <w:rsid w:val="00D1473A"/>
    <w:rsid w:val="00D14E24"/>
    <w:rsid w:val="00D22612"/>
    <w:rsid w:val="00D34EF3"/>
    <w:rsid w:val="00D41399"/>
    <w:rsid w:val="00D447A9"/>
    <w:rsid w:val="00D47E0E"/>
    <w:rsid w:val="00D53420"/>
    <w:rsid w:val="00D56619"/>
    <w:rsid w:val="00D627A4"/>
    <w:rsid w:val="00D70CCC"/>
    <w:rsid w:val="00D9038F"/>
    <w:rsid w:val="00D9794C"/>
    <w:rsid w:val="00DA2CD3"/>
    <w:rsid w:val="00DA606F"/>
    <w:rsid w:val="00DC1503"/>
    <w:rsid w:val="00DC4833"/>
    <w:rsid w:val="00DD7B4B"/>
    <w:rsid w:val="00DE3EFB"/>
    <w:rsid w:val="00E162D6"/>
    <w:rsid w:val="00E23D89"/>
    <w:rsid w:val="00E31F75"/>
    <w:rsid w:val="00E342E6"/>
    <w:rsid w:val="00E35A51"/>
    <w:rsid w:val="00E52432"/>
    <w:rsid w:val="00E5442E"/>
    <w:rsid w:val="00E56071"/>
    <w:rsid w:val="00E56E22"/>
    <w:rsid w:val="00E75BDE"/>
    <w:rsid w:val="00E83CB8"/>
    <w:rsid w:val="00E90CB2"/>
    <w:rsid w:val="00E91A92"/>
    <w:rsid w:val="00EB14D7"/>
    <w:rsid w:val="00EB1670"/>
    <w:rsid w:val="00EB3F99"/>
    <w:rsid w:val="00EB44FF"/>
    <w:rsid w:val="00EB57F1"/>
    <w:rsid w:val="00EB5B77"/>
    <w:rsid w:val="00EB783D"/>
    <w:rsid w:val="00ED11F7"/>
    <w:rsid w:val="00ED2D72"/>
    <w:rsid w:val="00EF3651"/>
    <w:rsid w:val="00EF3ABB"/>
    <w:rsid w:val="00EF4C10"/>
    <w:rsid w:val="00EF5BC9"/>
    <w:rsid w:val="00F14F7D"/>
    <w:rsid w:val="00F17776"/>
    <w:rsid w:val="00F21AD4"/>
    <w:rsid w:val="00F21FC2"/>
    <w:rsid w:val="00F22519"/>
    <w:rsid w:val="00F27A97"/>
    <w:rsid w:val="00F35B41"/>
    <w:rsid w:val="00F43F0A"/>
    <w:rsid w:val="00F56D62"/>
    <w:rsid w:val="00F76C28"/>
    <w:rsid w:val="00F80DBB"/>
    <w:rsid w:val="00F81B7B"/>
    <w:rsid w:val="00F82F25"/>
    <w:rsid w:val="00F867A0"/>
    <w:rsid w:val="00F87060"/>
    <w:rsid w:val="00F913CD"/>
    <w:rsid w:val="00FA4BBC"/>
    <w:rsid w:val="00FB096E"/>
    <w:rsid w:val="00FB1EE5"/>
    <w:rsid w:val="00FB387A"/>
    <w:rsid w:val="00FB3C48"/>
    <w:rsid w:val="00FB62AA"/>
    <w:rsid w:val="00FC126A"/>
    <w:rsid w:val="00FC1B55"/>
    <w:rsid w:val="00FC489F"/>
    <w:rsid w:val="00FC79B3"/>
    <w:rsid w:val="00FC7C60"/>
    <w:rsid w:val="00FD2B5D"/>
    <w:rsid w:val="00FE014C"/>
    <w:rsid w:val="00FE0C6C"/>
    <w:rsid w:val="00FE12BA"/>
    <w:rsid w:val="00FE3416"/>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1"/>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1"/>
    <w:unhideWhenUsed/>
    <w:qFormat/>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customStyle="1" w:styleId="ListParagraphChar">
    <w:name w:val="List Paragraph Char"/>
    <w:link w:val="ListParagraph"/>
    <w:uiPriority w:val="34"/>
    <w:locked/>
    <w:rsid w:val="00390B99"/>
    <w:rPr>
      <w:rFonts w:cs="Times New Roman (Body CS)"/>
      <w:color w:val="231F20" w:themeColor="text1"/>
    </w:rPr>
  </w:style>
  <w:style w:type="paragraph" w:customStyle="1" w:styleId="TableParagraph">
    <w:name w:val="Table Paragraph"/>
    <w:basedOn w:val="Normal"/>
    <w:uiPriority w:val="1"/>
    <w:qFormat/>
    <w:rsid w:val="00017123"/>
    <w:pPr>
      <w:widowControl w:val="0"/>
      <w:autoSpaceDE w:val="0"/>
      <w:autoSpaceDN w:val="0"/>
      <w:adjustRightInd w:val="0"/>
      <w:spacing w:before="0" w:after="0"/>
      <w:ind w:left="0"/>
    </w:pPr>
    <w:rPr>
      <w:rFonts w:ascii="Times New Roman" w:eastAsiaTheme="minorEastAsia" w:hAnsi="Times New Roman" w:cs="Times New Roman"/>
      <w:color w:val="auto"/>
      <w:lang w:eastAsia="en-GB"/>
    </w:rPr>
  </w:style>
  <w:style w:type="paragraph" w:styleId="BalloonText">
    <w:name w:val="Balloon Text"/>
    <w:basedOn w:val="Normal"/>
    <w:link w:val="BalloonTextChar"/>
    <w:uiPriority w:val="99"/>
    <w:semiHidden/>
    <w:unhideWhenUsed/>
    <w:rsid w:val="00017123"/>
    <w:pPr>
      <w:widowControl w:val="0"/>
      <w:autoSpaceDE w:val="0"/>
      <w:autoSpaceDN w:val="0"/>
      <w:adjustRightInd w:val="0"/>
      <w:spacing w:before="0" w:after="0"/>
      <w:ind w:left="0"/>
    </w:pPr>
    <w:rPr>
      <w:rFonts w:ascii="Tahoma" w:eastAsiaTheme="minorEastAsia" w:hAnsi="Tahoma" w:cs="Tahoma"/>
      <w:color w:val="auto"/>
      <w:sz w:val="16"/>
      <w:szCs w:val="16"/>
      <w:lang w:eastAsia="en-GB"/>
    </w:rPr>
  </w:style>
  <w:style w:type="character" w:customStyle="1" w:styleId="BalloonTextChar">
    <w:name w:val="Balloon Text Char"/>
    <w:basedOn w:val="DefaultParagraphFont"/>
    <w:link w:val="BalloonText"/>
    <w:uiPriority w:val="99"/>
    <w:semiHidden/>
    <w:rsid w:val="00017123"/>
    <w:rPr>
      <w:rFonts w:ascii="Tahoma" w:eastAsiaTheme="minorEastAsia" w:hAnsi="Tahoma" w:cs="Tahoma"/>
      <w:sz w:val="16"/>
      <w:szCs w:val="16"/>
      <w:lang w:eastAsia="en-GB"/>
    </w:rPr>
  </w:style>
  <w:style w:type="paragraph" w:styleId="NormalWeb">
    <w:name w:val="Normal (Web)"/>
    <w:basedOn w:val="Normal"/>
    <w:uiPriority w:val="99"/>
    <w:unhideWhenUsed/>
    <w:rsid w:val="00F76C28"/>
    <w:pPr>
      <w:spacing w:before="100" w:beforeAutospacing="1" w:after="100" w:afterAutospacing="1"/>
      <w:ind w:left="0"/>
    </w:pPr>
    <w:rPr>
      <w:rFonts w:ascii="Times New Roman" w:eastAsia="Times New Roman" w:hAnsi="Times New Roman" w:cs="Times New Roman"/>
      <w:color w:val="auto"/>
      <w:lang w:eastAsia="en-GB"/>
    </w:rPr>
  </w:style>
  <w:style w:type="paragraph" w:customStyle="1" w:styleId="trt0xe">
    <w:name w:val="trt0xe"/>
    <w:basedOn w:val="Normal"/>
    <w:rsid w:val="006F46F1"/>
    <w:pPr>
      <w:spacing w:before="100" w:beforeAutospacing="1" w:after="100" w:afterAutospacing="1"/>
      <w:ind w:left="0"/>
    </w:pPr>
    <w:rPr>
      <w:rFonts w:ascii="Times New Roman" w:eastAsia="Times New Roman" w:hAnsi="Times New Roman" w:cs="Times New Roman"/>
      <w:color w:val="auto"/>
      <w:lang w:eastAsia="en-GB"/>
    </w:rPr>
  </w:style>
  <w:style w:type="character" w:styleId="FollowedHyperlink">
    <w:name w:val="FollowedHyperlink"/>
    <w:basedOn w:val="DefaultParagraphFont"/>
    <w:uiPriority w:val="99"/>
    <w:semiHidden/>
    <w:unhideWhenUsed/>
    <w:rsid w:val="00393B60"/>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62">
      <w:bodyDiv w:val="1"/>
      <w:marLeft w:val="0"/>
      <w:marRight w:val="0"/>
      <w:marTop w:val="0"/>
      <w:marBottom w:val="0"/>
      <w:divBdr>
        <w:top w:val="none" w:sz="0" w:space="0" w:color="auto"/>
        <w:left w:val="none" w:sz="0" w:space="0" w:color="auto"/>
        <w:bottom w:val="none" w:sz="0" w:space="0" w:color="auto"/>
        <w:right w:val="none" w:sz="0" w:space="0" w:color="auto"/>
      </w:divBdr>
    </w:div>
    <w:div w:id="58284504">
      <w:bodyDiv w:val="1"/>
      <w:marLeft w:val="0"/>
      <w:marRight w:val="0"/>
      <w:marTop w:val="0"/>
      <w:marBottom w:val="0"/>
      <w:divBdr>
        <w:top w:val="none" w:sz="0" w:space="0" w:color="auto"/>
        <w:left w:val="none" w:sz="0" w:space="0" w:color="auto"/>
        <w:bottom w:val="none" w:sz="0" w:space="0" w:color="auto"/>
        <w:right w:val="none" w:sz="0" w:space="0" w:color="auto"/>
      </w:divBdr>
    </w:div>
    <w:div w:id="71587074">
      <w:bodyDiv w:val="1"/>
      <w:marLeft w:val="0"/>
      <w:marRight w:val="0"/>
      <w:marTop w:val="0"/>
      <w:marBottom w:val="0"/>
      <w:divBdr>
        <w:top w:val="none" w:sz="0" w:space="0" w:color="auto"/>
        <w:left w:val="none" w:sz="0" w:space="0" w:color="auto"/>
        <w:bottom w:val="none" w:sz="0" w:space="0" w:color="auto"/>
        <w:right w:val="none" w:sz="0" w:space="0" w:color="auto"/>
      </w:divBdr>
    </w:div>
    <w:div w:id="442657427">
      <w:bodyDiv w:val="1"/>
      <w:marLeft w:val="0"/>
      <w:marRight w:val="0"/>
      <w:marTop w:val="0"/>
      <w:marBottom w:val="0"/>
      <w:divBdr>
        <w:top w:val="none" w:sz="0" w:space="0" w:color="auto"/>
        <w:left w:val="none" w:sz="0" w:space="0" w:color="auto"/>
        <w:bottom w:val="none" w:sz="0" w:space="0" w:color="auto"/>
        <w:right w:val="none" w:sz="0" w:space="0" w:color="auto"/>
      </w:divBdr>
    </w:div>
    <w:div w:id="837888966">
      <w:bodyDiv w:val="1"/>
      <w:marLeft w:val="0"/>
      <w:marRight w:val="0"/>
      <w:marTop w:val="0"/>
      <w:marBottom w:val="0"/>
      <w:divBdr>
        <w:top w:val="none" w:sz="0" w:space="0" w:color="auto"/>
        <w:left w:val="none" w:sz="0" w:space="0" w:color="auto"/>
        <w:bottom w:val="none" w:sz="0" w:space="0" w:color="auto"/>
        <w:right w:val="none" w:sz="0" w:space="0" w:color="auto"/>
      </w:divBdr>
      <w:divsChild>
        <w:div w:id="1289507405">
          <w:marLeft w:val="0"/>
          <w:marRight w:val="0"/>
          <w:marTop w:val="0"/>
          <w:marBottom w:val="180"/>
          <w:divBdr>
            <w:top w:val="none" w:sz="0" w:space="0" w:color="auto"/>
            <w:left w:val="none" w:sz="0" w:space="0" w:color="auto"/>
            <w:bottom w:val="none" w:sz="0" w:space="0" w:color="auto"/>
            <w:right w:val="none" w:sz="0" w:space="0" w:color="auto"/>
          </w:divBdr>
        </w:div>
        <w:div w:id="1889296916">
          <w:marLeft w:val="0"/>
          <w:marRight w:val="0"/>
          <w:marTop w:val="0"/>
          <w:marBottom w:val="0"/>
          <w:divBdr>
            <w:top w:val="none" w:sz="0" w:space="0" w:color="auto"/>
            <w:left w:val="none" w:sz="0" w:space="0" w:color="auto"/>
            <w:bottom w:val="none" w:sz="0" w:space="0" w:color="auto"/>
            <w:right w:val="none" w:sz="0" w:space="0" w:color="auto"/>
          </w:divBdr>
        </w:div>
      </w:divsChild>
    </w:div>
    <w:div w:id="1022245674">
      <w:bodyDiv w:val="1"/>
      <w:marLeft w:val="0"/>
      <w:marRight w:val="0"/>
      <w:marTop w:val="0"/>
      <w:marBottom w:val="0"/>
      <w:divBdr>
        <w:top w:val="none" w:sz="0" w:space="0" w:color="auto"/>
        <w:left w:val="none" w:sz="0" w:space="0" w:color="auto"/>
        <w:bottom w:val="none" w:sz="0" w:space="0" w:color="auto"/>
        <w:right w:val="none" w:sz="0" w:space="0" w:color="auto"/>
      </w:divBdr>
    </w:div>
    <w:div w:id="1566866794">
      <w:bodyDiv w:val="1"/>
      <w:marLeft w:val="0"/>
      <w:marRight w:val="0"/>
      <w:marTop w:val="0"/>
      <w:marBottom w:val="0"/>
      <w:divBdr>
        <w:top w:val="none" w:sz="0" w:space="0" w:color="auto"/>
        <w:left w:val="none" w:sz="0" w:space="0" w:color="auto"/>
        <w:bottom w:val="none" w:sz="0" w:space="0" w:color="auto"/>
        <w:right w:val="none" w:sz="0" w:space="0" w:color="auto"/>
      </w:divBdr>
    </w:div>
    <w:div w:id="1614248081">
      <w:bodyDiv w:val="1"/>
      <w:marLeft w:val="0"/>
      <w:marRight w:val="0"/>
      <w:marTop w:val="0"/>
      <w:marBottom w:val="0"/>
      <w:divBdr>
        <w:top w:val="none" w:sz="0" w:space="0" w:color="auto"/>
        <w:left w:val="none" w:sz="0" w:space="0" w:color="auto"/>
        <w:bottom w:val="none" w:sz="0" w:space="0" w:color="auto"/>
        <w:right w:val="none" w:sz="0" w:space="0" w:color="auto"/>
      </w:divBdr>
    </w:div>
    <w:div w:id="1701272343">
      <w:bodyDiv w:val="1"/>
      <w:marLeft w:val="0"/>
      <w:marRight w:val="0"/>
      <w:marTop w:val="0"/>
      <w:marBottom w:val="0"/>
      <w:divBdr>
        <w:top w:val="none" w:sz="0" w:space="0" w:color="auto"/>
        <w:left w:val="none" w:sz="0" w:space="0" w:color="auto"/>
        <w:bottom w:val="none" w:sz="0" w:space="0" w:color="auto"/>
        <w:right w:val="none" w:sz="0" w:space="0" w:color="auto"/>
      </w:divBdr>
    </w:div>
    <w:div w:id="1753775302">
      <w:bodyDiv w:val="1"/>
      <w:marLeft w:val="0"/>
      <w:marRight w:val="0"/>
      <w:marTop w:val="0"/>
      <w:marBottom w:val="0"/>
      <w:divBdr>
        <w:top w:val="none" w:sz="0" w:space="0" w:color="auto"/>
        <w:left w:val="none" w:sz="0" w:space="0" w:color="auto"/>
        <w:bottom w:val="none" w:sz="0" w:space="0" w:color="auto"/>
        <w:right w:val="none" w:sz="0" w:space="0" w:color="auto"/>
      </w:divBdr>
    </w:div>
    <w:div w:id="1762749738">
      <w:bodyDiv w:val="1"/>
      <w:marLeft w:val="0"/>
      <w:marRight w:val="0"/>
      <w:marTop w:val="0"/>
      <w:marBottom w:val="0"/>
      <w:divBdr>
        <w:top w:val="none" w:sz="0" w:space="0" w:color="auto"/>
        <w:left w:val="none" w:sz="0" w:space="0" w:color="auto"/>
        <w:bottom w:val="none" w:sz="0" w:space="0" w:color="auto"/>
        <w:right w:val="none" w:sz="0" w:space="0" w:color="auto"/>
      </w:divBdr>
    </w:div>
    <w:div w:id="1994020888">
      <w:bodyDiv w:val="1"/>
      <w:marLeft w:val="0"/>
      <w:marRight w:val="0"/>
      <w:marTop w:val="0"/>
      <w:marBottom w:val="0"/>
      <w:divBdr>
        <w:top w:val="none" w:sz="0" w:space="0" w:color="auto"/>
        <w:left w:val="none" w:sz="0" w:space="0" w:color="auto"/>
        <w:bottom w:val="none" w:sz="0" w:space="0" w:color="auto"/>
        <w:right w:val="none" w:sz="0" w:space="0" w:color="auto"/>
      </w:divBdr>
    </w:div>
    <w:div w:id="2062053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ngland.nhs.uk/wp-content/uploads/2020/12/B0319-Violence-Prevention-Reduction-Standards.pdf" TargetMode="External"/><Relationship Id="rId13" Type="http://schemas.openxmlformats.org/officeDocument/2006/relationships/hyperlink" Target="http://www.england.nhs.uk/wp-content/uploads/2020/12/B0319-Violence-Prevention-Reduction-Standard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ma.org.uk/media/5144/bma-guidance-on-how-to-deal-with-discrimination-from-patients-march-2022.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fh.org.uk/programmes/continuing-healthcar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ma.org.uk/media/5144/bma-guidance-on-how-to-deal-with-discrimination-from-patients-march-202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violence-against-nhs-staff-letter-to-the-workforce/violence-against-nhs-staff-letter-to-the-workforce" TargetMode="External"/><Relationship Id="rId14" Type="http://schemas.openxmlformats.org/officeDocument/2006/relationships/hyperlink" Target="https://www.gov.uk/government/publications/violence-against-nhs-staff-letter-to-the-workforce/violence-against-nhs-staff-letter-to-the-workforc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2</TotalTime>
  <Pages>1</Pages>
  <Words>21498</Words>
  <Characters>122544</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MSEICB068 All Age Continuing Care Operational Policy V1.0</vt:lpstr>
    </vt:vector>
  </TitlesOfParts>
  <Manager/>
  <Company/>
  <LinksUpToDate>false</LinksUpToDate>
  <CharactersWithSpaces>143755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MSEICB068 All Age Continuing Care Operational Policy V1.0</dc:title>
  <dc:subject/>
  <dc:creator>Adams Nicola (07G) Thurrock CCG</dc:creator>
  <cp:keywords/>
  <dc:description/>
  <cp:lastModifiedBy>TANNETT, Charlotte (NHS MID ESSEX CCG)</cp:lastModifiedBy>
  <cp:revision>3</cp:revision>
  <cp:lastPrinted>2021-12-03T14:01:00Z</cp:lastPrinted>
  <dcterms:created xsi:type="dcterms:W3CDTF">2022-07-06T15:12:00Z</dcterms:created>
  <dcterms:modified xsi:type="dcterms:W3CDTF">2022-07-08T11:27:00Z</dcterms:modified>
  <cp:category/>
</cp:coreProperties>
</file>