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A741B" w14:textId="77777777" w:rsidR="00BB5FD4" w:rsidRDefault="00181267" w:rsidP="00EF38D4">
      <w:pPr>
        <w:pStyle w:val="Title"/>
        <w:spacing w:before="12000"/>
        <w:sectPr w:rsidR="00BB5FD4" w:rsidSect="009C523D">
          <w:headerReference w:type="default" r:id="rId8"/>
          <w:footerReference w:type="default" r:id="rId9"/>
          <w:headerReference w:type="first" r:id="rId10"/>
          <w:pgSz w:w="11906" w:h="16838"/>
          <w:pgMar w:top="1985" w:right="1440" w:bottom="1797" w:left="1440" w:header="1111" w:footer="709" w:gutter="0"/>
          <w:pgNumType w:start="0"/>
          <w:cols w:space="708"/>
          <w:titlePg/>
          <w:docGrid w:linePitch="360"/>
        </w:sectPr>
      </w:pPr>
      <w:bookmarkStart w:id="0" w:name="_Toc85717490"/>
      <w:r>
        <w:t>Legal Services Policy</w:t>
      </w:r>
      <w:bookmarkStart w:id="1" w:name="_Toc88478171"/>
      <w:bookmarkEnd w:id="0"/>
    </w:p>
    <w:p w14:paraId="3CE3AC19" w14:textId="77777777" w:rsidR="00FC3027" w:rsidRPr="00FC3027" w:rsidRDefault="00FC3027" w:rsidP="00FC3027">
      <w:pPr>
        <w:keepNext/>
        <w:keepLines/>
        <w:spacing w:before="240"/>
        <w:ind w:left="0"/>
        <w:outlineLvl w:val="0"/>
        <w:rPr>
          <w:rFonts w:asciiTheme="majorHAnsi" w:eastAsiaTheme="majorEastAsia" w:hAnsiTheme="majorHAnsi" w:cstheme="majorBidi"/>
          <w:b/>
          <w:sz w:val="32"/>
          <w:szCs w:val="32"/>
        </w:rPr>
      </w:pPr>
      <w:r w:rsidRPr="00FC3027">
        <w:rPr>
          <w:rFonts w:asciiTheme="majorHAnsi" w:eastAsiaTheme="majorEastAsia" w:hAnsiTheme="majorHAnsi" w:cstheme="majorBidi"/>
          <w:b/>
          <w:sz w:val="32"/>
          <w:szCs w:val="32"/>
        </w:rPr>
        <w:t>Document Control:</w:t>
      </w:r>
    </w:p>
    <w:tbl>
      <w:tblPr>
        <w:tblStyle w:val="TableGrid"/>
        <w:tblW w:w="9072" w:type="dxa"/>
        <w:tblInd w:w="-5" w:type="dxa"/>
        <w:tblLook w:val="04A0" w:firstRow="1" w:lastRow="0" w:firstColumn="1" w:lastColumn="0" w:noHBand="0" w:noVBand="1"/>
      </w:tblPr>
      <w:tblGrid>
        <w:gridCol w:w="4536"/>
        <w:gridCol w:w="4536"/>
      </w:tblGrid>
      <w:tr w:rsidR="00FC3027" w:rsidRPr="00FC3027" w14:paraId="078BBD3A" w14:textId="77777777" w:rsidTr="00A05288">
        <w:trPr>
          <w:trHeight w:val="264"/>
        </w:trPr>
        <w:tc>
          <w:tcPr>
            <w:tcW w:w="4536" w:type="dxa"/>
            <w:shd w:val="clear" w:color="auto" w:fill="003087" w:themeFill="accent1"/>
          </w:tcPr>
          <w:p w14:paraId="054DFFA5" w14:textId="77777777" w:rsidR="00FC3027" w:rsidRPr="00FC3027" w:rsidRDefault="00FC3027" w:rsidP="00FC3027">
            <w:pPr>
              <w:spacing w:before="0" w:after="0"/>
              <w:ind w:left="0"/>
              <w:rPr>
                <w:color w:val="FFFFFF" w:themeColor="background1"/>
              </w:rPr>
            </w:pPr>
            <w:r w:rsidRPr="00FC3027">
              <w:rPr>
                <w:color w:val="FFFFFF" w:themeColor="background1"/>
              </w:rPr>
              <w:t>Policy Name</w:t>
            </w:r>
          </w:p>
        </w:tc>
        <w:tc>
          <w:tcPr>
            <w:tcW w:w="4536" w:type="dxa"/>
          </w:tcPr>
          <w:p w14:paraId="1C551823" w14:textId="41BE49A6" w:rsidR="00FC3027" w:rsidRPr="00FC3027" w:rsidRDefault="00FC3027" w:rsidP="00FC3027">
            <w:pPr>
              <w:spacing w:before="0" w:after="0"/>
              <w:ind w:left="0"/>
            </w:pPr>
            <w:r w:rsidRPr="00FC3027">
              <w:t>Legal Services Polic</w:t>
            </w:r>
            <w:r>
              <w:t>y</w:t>
            </w:r>
          </w:p>
        </w:tc>
      </w:tr>
      <w:tr w:rsidR="00FC3027" w:rsidRPr="00FC3027" w14:paraId="70F86A0F" w14:textId="77777777" w:rsidTr="00A05288">
        <w:tc>
          <w:tcPr>
            <w:tcW w:w="4536" w:type="dxa"/>
            <w:shd w:val="clear" w:color="auto" w:fill="003087" w:themeFill="accent1"/>
          </w:tcPr>
          <w:p w14:paraId="16E70AA0" w14:textId="77777777" w:rsidR="00FC3027" w:rsidRPr="00FC3027" w:rsidRDefault="00FC3027" w:rsidP="00FC3027">
            <w:pPr>
              <w:spacing w:before="0" w:after="0"/>
              <w:ind w:left="0"/>
              <w:rPr>
                <w:color w:val="FFFFFF" w:themeColor="background1"/>
              </w:rPr>
            </w:pPr>
            <w:r w:rsidRPr="00FC3027">
              <w:rPr>
                <w:color w:val="FFFFFF" w:themeColor="background1"/>
              </w:rPr>
              <w:t>Policy Number</w:t>
            </w:r>
          </w:p>
        </w:tc>
        <w:tc>
          <w:tcPr>
            <w:tcW w:w="4536" w:type="dxa"/>
          </w:tcPr>
          <w:p w14:paraId="388F6A93" w14:textId="5ED30C1D" w:rsidR="00FC3027" w:rsidRPr="00FC3027" w:rsidRDefault="006C7D29" w:rsidP="00FC3027">
            <w:pPr>
              <w:spacing w:before="0" w:after="0"/>
              <w:ind w:left="0"/>
            </w:pPr>
            <w:r>
              <w:t>MSEICB 022</w:t>
            </w:r>
          </w:p>
        </w:tc>
      </w:tr>
      <w:tr w:rsidR="00FC3027" w:rsidRPr="00FC3027" w14:paraId="78CCFE21" w14:textId="77777777" w:rsidTr="00A05288">
        <w:tc>
          <w:tcPr>
            <w:tcW w:w="4536" w:type="dxa"/>
            <w:shd w:val="clear" w:color="auto" w:fill="003087" w:themeFill="accent1"/>
          </w:tcPr>
          <w:p w14:paraId="0509A76E" w14:textId="77777777" w:rsidR="00FC3027" w:rsidRPr="00FC3027" w:rsidRDefault="00FC3027" w:rsidP="00FC3027">
            <w:pPr>
              <w:spacing w:before="0" w:after="0"/>
              <w:ind w:left="0"/>
              <w:rPr>
                <w:color w:val="FFFFFF" w:themeColor="background1"/>
              </w:rPr>
            </w:pPr>
            <w:r w:rsidRPr="00FC3027">
              <w:rPr>
                <w:color w:val="FFFFFF" w:themeColor="background1"/>
              </w:rPr>
              <w:t>Version</w:t>
            </w:r>
          </w:p>
        </w:tc>
        <w:tc>
          <w:tcPr>
            <w:tcW w:w="4536" w:type="dxa"/>
          </w:tcPr>
          <w:p w14:paraId="5E68E2AD" w14:textId="56A10D48" w:rsidR="00FC3027" w:rsidRPr="00FC3027" w:rsidRDefault="006C7D29" w:rsidP="00FC3027">
            <w:pPr>
              <w:spacing w:before="0" w:after="0"/>
              <w:ind w:left="0"/>
            </w:pPr>
            <w:r>
              <w:t>1.0</w:t>
            </w:r>
          </w:p>
        </w:tc>
      </w:tr>
      <w:tr w:rsidR="00FC3027" w:rsidRPr="00FC3027" w14:paraId="42F11EAC" w14:textId="77777777" w:rsidTr="00A05288">
        <w:tc>
          <w:tcPr>
            <w:tcW w:w="4536" w:type="dxa"/>
            <w:shd w:val="clear" w:color="auto" w:fill="003087" w:themeFill="accent1"/>
          </w:tcPr>
          <w:p w14:paraId="6B3E3EC8" w14:textId="77777777" w:rsidR="00FC3027" w:rsidRPr="00FC3027" w:rsidRDefault="00FC3027" w:rsidP="00FC3027">
            <w:pPr>
              <w:spacing w:before="0" w:after="0"/>
              <w:ind w:left="0"/>
              <w:rPr>
                <w:color w:val="FFFFFF" w:themeColor="background1"/>
              </w:rPr>
            </w:pPr>
            <w:r w:rsidRPr="00FC3027">
              <w:rPr>
                <w:color w:val="FFFFFF" w:themeColor="background1"/>
              </w:rPr>
              <w:t>Status</w:t>
            </w:r>
          </w:p>
        </w:tc>
        <w:tc>
          <w:tcPr>
            <w:tcW w:w="4536" w:type="dxa"/>
          </w:tcPr>
          <w:p w14:paraId="4DFB762B" w14:textId="79D8A199" w:rsidR="00FC3027" w:rsidRPr="00FC3027" w:rsidRDefault="00A05288" w:rsidP="00FC3027">
            <w:pPr>
              <w:spacing w:before="0" w:after="0"/>
              <w:ind w:left="0"/>
            </w:pPr>
            <w:r>
              <w:t>Final</w:t>
            </w:r>
            <w:r w:rsidR="00FC3027" w:rsidRPr="00FC3027">
              <w:t xml:space="preserve"> ICB Policy</w:t>
            </w:r>
          </w:p>
        </w:tc>
      </w:tr>
      <w:tr w:rsidR="00FC3027" w:rsidRPr="00FC3027" w14:paraId="669C1DB4" w14:textId="77777777" w:rsidTr="00A05288">
        <w:tc>
          <w:tcPr>
            <w:tcW w:w="4536" w:type="dxa"/>
            <w:shd w:val="clear" w:color="auto" w:fill="003087" w:themeFill="accent1"/>
          </w:tcPr>
          <w:p w14:paraId="3732782A" w14:textId="77777777" w:rsidR="00FC3027" w:rsidRPr="00FC3027" w:rsidRDefault="00FC3027" w:rsidP="00FC3027">
            <w:pPr>
              <w:spacing w:before="0" w:after="0"/>
              <w:ind w:left="0"/>
              <w:rPr>
                <w:color w:val="FFFFFF" w:themeColor="background1"/>
              </w:rPr>
            </w:pPr>
            <w:r w:rsidRPr="00FC3027">
              <w:rPr>
                <w:color w:val="FFFFFF" w:themeColor="background1"/>
              </w:rPr>
              <w:t>Author / Lead</w:t>
            </w:r>
          </w:p>
        </w:tc>
        <w:tc>
          <w:tcPr>
            <w:tcW w:w="4536" w:type="dxa"/>
          </w:tcPr>
          <w:p w14:paraId="2638A845" w14:textId="57E7A190" w:rsidR="00FC3027" w:rsidRPr="00FC3027" w:rsidRDefault="00FC3027" w:rsidP="00FC3027">
            <w:pPr>
              <w:spacing w:before="0" w:after="0"/>
              <w:ind w:left="0"/>
            </w:pPr>
            <w:r w:rsidRPr="00FC3027">
              <w:t>David Triggs, Governance Lead</w:t>
            </w:r>
          </w:p>
        </w:tc>
      </w:tr>
      <w:tr w:rsidR="00FC3027" w:rsidRPr="00FC3027" w14:paraId="7DB1DE86" w14:textId="77777777" w:rsidTr="00A05288">
        <w:tc>
          <w:tcPr>
            <w:tcW w:w="4536" w:type="dxa"/>
            <w:shd w:val="clear" w:color="auto" w:fill="003087" w:themeFill="accent1"/>
          </w:tcPr>
          <w:p w14:paraId="0E2C7CE7" w14:textId="77777777" w:rsidR="00FC3027" w:rsidRPr="00FC3027" w:rsidRDefault="00FC3027" w:rsidP="00FC3027">
            <w:pPr>
              <w:spacing w:before="0" w:after="0"/>
              <w:ind w:left="0"/>
              <w:rPr>
                <w:color w:val="FFFFFF" w:themeColor="background1"/>
              </w:rPr>
            </w:pPr>
            <w:r w:rsidRPr="00FC3027">
              <w:rPr>
                <w:color w:val="FFFFFF" w:themeColor="background1"/>
              </w:rPr>
              <w:t>Responsible Executive Director</w:t>
            </w:r>
          </w:p>
        </w:tc>
        <w:tc>
          <w:tcPr>
            <w:tcW w:w="4536" w:type="dxa"/>
          </w:tcPr>
          <w:p w14:paraId="5BC05CB8" w14:textId="03E50974" w:rsidR="00FC3027" w:rsidRPr="00FC3027" w:rsidRDefault="00A05288" w:rsidP="00FC3027">
            <w:pPr>
              <w:spacing w:before="0" w:after="0"/>
              <w:ind w:left="0"/>
            </w:pPr>
            <w:r>
              <w:t xml:space="preserve">The Chief Executive has delegated responsibility for legal services to the </w:t>
            </w:r>
            <w:r w:rsidR="00FC3027">
              <w:t>Chief of Staff</w:t>
            </w:r>
          </w:p>
        </w:tc>
      </w:tr>
      <w:tr w:rsidR="00FC3027" w:rsidRPr="00FC3027" w14:paraId="096C9ED6" w14:textId="77777777" w:rsidTr="00A05288">
        <w:tc>
          <w:tcPr>
            <w:tcW w:w="4536" w:type="dxa"/>
            <w:shd w:val="clear" w:color="auto" w:fill="003087" w:themeFill="accent1"/>
          </w:tcPr>
          <w:p w14:paraId="2BB2B929" w14:textId="77777777" w:rsidR="00FC3027" w:rsidRPr="00FC3027" w:rsidRDefault="00FC3027" w:rsidP="00FC3027">
            <w:pPr>
              <w:spacing w:before="0" w:after="0"/>
              <w:ind w:left="0"/>
              <w:rPr>
                <w:color w:val="FFFFFF" w:themeColor="background1"/>
              </w:rPr>
            </w:pPr>
            <w:r w:rsidRPr="00FC3027">
              <w:rPr>
                <w:color w:val="FFFFFF" w:themeColor="background1"/>
              </w:rPr>
              <w:t>Responsible Committee</w:t>
            </w:r>
          </w:p>
        </w:tc>
        <w:tc>
          <w:tcPr>
            <w:tcW w:w="4536" w:type="dxa"/>
          </w:tcPr>
          <w:p w14:paraId="027624C1" w14:textId="2D231CE6" w:rsidR="00FC3027" w:rsidRPr="00FC3027" w:rsidRDefault="00FC3027" w:rsidP="00FC3027">
            <w:pPr>
              <w:spacing w:before="0" w:after="0"/>
              <w:ind w:left="0"/>
              <w:rPr>
                <w:color w:val="auto"/>
              </w:rPr>
            </w:pPr>
            <w:r>
              <w:rPr>
                <w:color w:val="auto"/>
              </w:rPr>
              <w:t>Audit Committee</w:t>
            </w:r>
          </w:p>
        </w:tc>
      </w:tr>
      <w:tr w:rsidR="00FC3027" w:rsidRPr="00FC3027" w14:paraId="7CEF09B4" w14:textId="77777777" w:rsidTr="00A05288">
        <w:tc>
          <w:tcPr>
            <w:tcW w:w="4536" w:type="dxa"/>
            <w:shd w:val="clear" w:color="auto" w:fill="003087" w:themeFill="accent1"/>
          </w:tcPr>
          <w:p w14:paraId="27163D5B" w14:textId="77777777" w:rsidR="00FC3027" w:rsidRPr="00FC3027" w:rsidRDefault="00FC3027" w:rsidP="00FC3027">
            <w:pPr>
              <w:spacing w:before="0" w:after="0"/>
              <w:ind w:left="0"/>
              <w:rPr>
                <w:color w:val="FFFFFF" w:themeColor="background1"/>
              </w:rPr>
            </w:pPr>
            <w:r w:rsidRPr="00FC3027">
              <w:rPr>
                <w:color w:val="FFFFFF" w:themeColor="background1"/>
              </w:rPr>
              <w:t>Date Ratified by Responsible Committee</w:t>
            </w:r>
          </w:p>
        </w:tc>
        <w:tc>
          <w:tcPr>
            <w:tcW w:w="4536" w:type="dxa"/>
          </w:tcPr>
          <w:p w14:paraId="1B3C8CB7" w14:textId="4397B046" w:rsidR="00FC3027" w:rsidRPr="00FC3027" w:rsidRDefault="00A05288" w:rsidP="00FC3027">
            <w:pPr>
              <w:spacing w:before="0" w:after="0"/>
              <w:ind w:left="0"/>
              <w:rPr>
                <w:color w:val="auto"/>
                <w:highlight w:val="yellow"/>
              </w:rPr>
            </w:pPr>
            <w:r w:rsidRPr="00A05288">
              <w:rPr>
                <w:color w:val="auto"/>
              </w:rPr>
              <w:t>N/A</w:t>
            </w:r>
          </w:p>
        </w:tc>
      </w:tr>
      <w:tr w:rsidR="00FC3027" w:rsidRPr="00FC3027" w14:paraId="3FD37C9B" w14:textId="77777777" w:rsidTr="00A05288">
        <w:tc>
          <w:tcPr>
            <w:tcW w:w="4536" w:type="dxa"/>
            <w:shd w:val="clear" w:color="auto" w:fill="003087" w:themeFill="accent1"/>
          </w:tcPr>
          <w:p w14:paraId="79542FF1" w14:textId="77777777" w:rsidR="00FC3027" w:rsidRPr="00FC3027" w:rsidRDefault="00FC3027" w:rsidP="00FC3027">
            <w:pPr>
              <w:spacing w:before="0" w:after="0"/>
              <w:ind w:left="0"/>
              <w:rPr>
                <w:color w:val="FFFFFF" w:themeColor="background1"/>
              </w:rPr>
            </w:pPr>
            <w:r w:rsidRPr="00FC3027">
              <w:rPr>
                <w:color w:val="FFFFFF" w:themeColor="background1"/>
              </w:rPr>
              <w:t>Date Approved by Board/Effective Date</w:t>
            </w:r>
          </w:p>
        </w:tc>
        <w:tc>
          <w:tcPr>
            <w:tcW w:w="4536" w:type="dxa"/>
          </w:tcPr>
          <w:p w14:paraId="2DC02836" w14:textId="3951E34A" w:rsidR="00FC3027" w:rsidRPr="00FC3027" w:rsidRDefault="00FC3027" w:rsidP="00FC3027">
            <w:pPr>
              <w:spacing w:before="0" w:after="0"/>
              <w:ind w:left="0"/>
              <w:rPr>
                <w:color w:val="auto"/>
                <w:highlight w:val="yellow"/>
              </w:rPr>
            </w:pPr>
            <w:r w:rsidRPr="00FC3027">
              <w:rPr>
                <w:color w:val="auto"/>
              </w:rPr>
              <w:t>1 July 2022</w:t>
            </w:r>
          </w:p>
        </w:tc>
      </w:tr>
      <w:tr w:rsidR="00FC3027" w:rsidRPr="00FC3027" w14:paraId="6E262B66" w14:textId="77777777" w:rsidTr="00A05288">
        <w:tc>
          <w:tcPr>
            <w:tcW w:w="4536" w:type="dxa"/>
            <w:shd w:val="clear" w:color="auto" w:fill="003087" w:themeFill="accent1"/>
          </w:tcPr>
          <w:p w14:paraId="2F6009BF" w14:textId="77777777" w:rsidR="00FC3027" w:rsidRPr="00FC3027" w:rsidRDefault="00FC3027" w:rsidP="00FC3027">
            <w:pPr>
              <w:spacing w:before="0" w:after="0"/>
              <w:ind w:left="0"/>
              <w:rPr>
                <w:color w:val="FFFFFF" w:themeColor="background1"/>
              </w:rPr>
            </w:pPr>
            <w:r w:rsidRPr="00FC3027">
              <w:rPr>
                <w:color w:val="FFFFFF" w:themeColor="background1"/>
              </w:rPr>
              <w:t>Next Review Date</w:t>
            </w:r>
          </w:p>
        </w:tc>
        <w:tc>
          <w:tcPr>
            <w:tcW w:w="4536" w:type="dxa"/>
          </w:tcPr>
          <w:p w14:paraId="1262AA26" w14:textId="65BCD541" w:rsidR="00FC3027" w:rsidRPr="00FC3027" w:rsidRDefault="00A05288" w:rsidP="00FC3027">
            <w:pPr>
              <w:spacing w:before="0" w:after="0"/>
              <w:ind w:left="0"/>
              <w:rPr>
                <w:color w:val="auto"/>
              </w:rPr>
            </w:pPr>
            <w:r>
              <w:rPr>
                <w:color w:val="auto"/>
              </w:rPr>
              <w:t>1 July 2025</w:t>
            </w:r>
          </w:p>
        </w:tc>
      </w:tr>
      <w:tr w:rsidR="00FC3027" w:rsidRPr="00FC3027" w14:paraId="415C5B08" w14:textId="77777777" w:rsidTr="00A05288">
        <w:tc>
          <w:tcPr>
            <w:tcW w:w="4536" w:type="dxa"/>
            <w:shd w:val="clear" w:color="auto" w:fill="003087" w:themeFill="accent1"/>
          </w:tcPr>
          <w:p w14:paraId="495BDFB7" w14:textId="77777777" w:rsidR="00FC3027" w:rsidRPr="00FC3027" w:rsidRDefault="00FC3027" w:rsidP="00FC3027">
            <w:pPr>
              <w:spacing w:before="0" w:after="0"/>
              <w:ind w:left="0"/>
              <w:rPr>
                <w:color w:val="FFFFFF" w:themeColor="background1"/>
              </w:rPr>
            </w:pPr>
            <w:r w:rsidRPr="00FC3027">
              <w:rPr>
                <w:color w:val="FFFFFF" w:themeColor="background1"/>
              </w:rPr>
              <w:t>Target Audience</w:t>
            </w:r>
          </w:p>
        </w:tc>
        <w:tc>
          <w:tcPr>
            <w:tcW w:w="4536" w:type="dxa"/>
          </w:tcPr>
          <w:p w14:paraId="47ED54DB" w14:textId="740E37F0" w:rsidR="00FC3027" w:rsidRDefault="00FC3027" w:rsidP="00FC3027">
            <w:pPr>
              <w:pStyle w:val="ListParagraph"/>
              <w:numPr>
                <w:ilvl w:val="0"/>
                <w:numId w:val="27"/>
              </w:numPr>
              <w:spacing w:before="0" w:after="0"/>
              <w:ind w:left="320" w:hanging="284"/>
            </w:pPr>
            <w:r>
              <w:t>Mid and South Essex (MSE) Integrated Care Board (ICB) members and staff (including temporary/bank/agency/work experience staff)</w:t>
            </w:r>
          </w:p>
          <w:p w14:paraId="76DD3EFB" w14:textId="688A2A1B" w:rsidR="00FC3027" w:rsidRDefault="00FC3027" w:rsidP="00FC3027">
            <w:pPr>
              <w:pStyle w:val="ListParagraph"/>
              <w:numPr>
                <w:ilvl w:val="0"/>
                <w:numId w:val="27"/>
              </w:numPr>
              <w:spacing w:before="0" w:after="0"/>
              <w:ind w:left="320" w:hanging="284"/>
            </w:pPr>
            <w:r>
              <w:t>Contractors engaged by the ICB</w:t>
            </w:r>
          </w:p>
          <w:p w14:paraId="64A24C77" w14:textId="61085757" w:rsidR="00FC3027" w:rsidRPr="00FC3027" w:rsidRDefault="00FC3027" w:rsidP="00FC3027">
            <w:pPr>
              <w:pStyle w:val="ListParagraph"/>
              <w:numPr>
                <w:ilvl w:val="0"/>
                <w:numId w:val="27"/>
              </w:numPr>
              <w:spacing w:before="0" w:after="0"/>
              <w:ind w:left="320" w:hanging="284"/>
              <w:rPr>
                <w:color w:val="auto"/>
              </w:rPr>
            </w:pPr>
            <w:r>
              <w:t>Staff from other MSE Integrated Care Partnership (ICP) organisations who are members of ICB Committees/Sub-Committees and other groups</w:t>
            </w:r>
          </w:p>
        </w:tc>
      </w:tr>
      <w:tr w:rsidR="00FC3027" w:rsidRPr="00FC3027" w14:paraId="4B72DDE7" w14:textId="77777777" w:rsidTr="00A05288">
        <w:tc>
          <w:tcPr>
            <w:tcW w:w="4536" w:type="dxa"/>
            <w:shd w:val="clear" w:color="auto" w:fill="003087" w:themeFill="accent1"/>
          </w:tcPr>
          <w:p w14:paraId="0F1D07AB" w14:textId="77777777" w:rsidR="00FC3027" w:rsidRPr="00FC3027" w:rsidRDefault="00FC3027" w:rsidP="00FC3027">
            <w:pPr>
              <w:spacing w:before="0" w:after="0"/>
              <w:ind w:left="0"/>
              <w:rPr>
                <w:color w:val="FFFFFF" w:themeColor="background1"/>
              </w:rPr>
            </w:pPr>
            <w:r w:rsidRPr="00FC3027">
              <w:rPr>
                <w:color w:val="FFFFFF" w:themeColor="background1"/>
              </w:rPr>
              <w:t xml:space="preserve">Stakeholders engaged in development of Policy (internal and external) </w:t>
            </w:r>
          </w:p>
        </w:tc>
        <w:tc>
          <w:tcPr>
            <w:tcW w:w="4536" w:type="dxa"/>
          </w:tcPr>
          <w:p w14:paraId="4653C0BA" w14:textId="77777777" w:rsidR="00FC3027" w:rsidRPr="00FC3027" w:rsidRDefault="00FC3027" w:rsidP="00FC3027">
            <w:pPr>
              <w:pStyle w:val="ListParagraph"/>
              <w:numPr>
                <w:ilvl w:val="0"/>
                <w:numId w:val="28"/>
              </w:numPr>
              <w:spacing w:before="0" w:after="0"/>
              <w:ind w:left="320" w:hanging="284"/>
            </w:pPr>
            <w:r w:rsidRPr="00FC3027">
              <w:t>Mid and South Essex CCG Governance Leads</w:t>
            </w:r>
          </w:p>
          <w:p w14:paraId="16156FBF" w14:textId="77777777" w:rsidR="00FC3027" w:rsidRPr="00FC3027" w:rsidRDefault="00FC3027" w:rsidP="00FC3027">
            <w:pPr>
              <w:pStyle w:val="ListParagraph"/>
              <w:numPr>
                <w:ilvl w:val="0"/>
                <w:numId w:val="28"/>
              </w:numPr>
              <w:spacing w:before="0" w:after="0"/>
              <w:ind w:left="320" w:hanging="284"/>
            </w:pPr>
            <w:r w:rsidRPr="00FC3027">
              <w:t>Human Resources</w:t>
            </w:r>
          </w:p>
          <w:p w14:paraId="4F6CB380" w14:textId="77777777" w:rsidR="00FC3027" w:rsidRPr="00FC3027" w:rsidRDefault="00FC3027" w:rsidP="00FC3027">
            <w:pPr>
              <w:pStyle w:val="ListParagraph"/>
              <w:numPr>
                <w:ilvl w:val="0"/>
                <w:numId w:val="28"/>
              </w:numPr>
              <w:spacing w:before="0" w:after="0"/>
              <w:ind w:left="320" w:hanging="284"/>
            </w:pPr>
            <w:r w:rsidRPr="00FC3027">
              <w:t>Information Governance Lead</w:t>
            </w:r>
          </w:p>
          <w:p w14:paraId="182F096C" w14:textId="77777777" w:rsidR="00FC3027" w:rsidRPr="00FC3027" w:rsidRDefault="00FC3027" w:rsidP="00FC3027">
            <w:pPr>
              <w:pStyle w:val="ListParagraph"/>
              <w:numPr>
                <w:ilvl w:val="0"/>
                <w:numId w:val="28"/>
              </w:numPr>
              <w:spacing w:before="0" w:after="0"/>
              <w:ind w:left="320" w:hanging="284"/>
            </w:pPr>
            <w:r w:rsidRPr="00FC3027">
              <w:t>CCG Director of Finance</w:t>
            </w:r>
          </w:p>
          <w:p w14:paraId="7C4057BD" w14:textId="0E4F5D4B" w:rsidR="00FC3027" w:rsidRPr="00FC3027" w:rsidRDefault="00FC3027" w:rsidP="00FC3027">
            <w:pPr>
              <w:pStyle w:val="ListParagraph"/>
              <w:numPr>
                <w:ilvl w:val="0"/>
                <w:numId w:val="28"/>
              </w:numPr>
              <w:spacing w:before="0" w:after="0"/>
              <w:ind w:left="320" w:hanging="284"/>
            </w:pPr>
            <w:r w:rsidRPr="00FC3027">
              <w:t>MSE CCGs Audit Committees meeting in common</w:t>
            </w:r>
          </w:p>
        </w:tc>
      </w:tr>
      <w:tr w:rsidR="00FC3027" w:rsidRPr="00FC3027" w14:paraId="5AAFD36D" w14:textId="77777777" w:rsidTr="00A05288">
        <w:tc>
          <w:tcPr>
            <w:tcW w:w="4536" w:type="dxa"/>
            <w:shd w:val="clear" w:color="auto" w:fill="003087" w:themeFill="accent1"/>
          </w:tcPr>
          <w:p w14:paraId="10B7C4A8" w14:textId="77777777" w:rsidR="00FC3027" w:rsidRPr="00FC3027" w:rsidRDefault="00FC3027" w:rsidP="00FC3027">
            <w:pPr>
              <w:spacing w:before="0" w:after="0"/>
              <w:ind w:left="0"/>
              <w:rPr>
                <w:color w:val="FFFFFF" w:themeColor="background1"/>
              </w:rPr>
            </w:pPr>
            <w:r w:rsidRPr="00FC3027">
              <w:rPr>
                <w:color w:val="FFFFFF" w:themeColor="background1"/>
              </w:rPr>
              <w:t xml:space="preserve">Impact Assessments Undertaken </w:t>
            </w:r>
          </w:p>
          <w:p w14:paraId="75001D6C" w14:textId="4BF817C7" w:rsidR="00FC3027" w:rsidRPr="00FC3027" w:rsidRDefault="00FC3027" w:rsidP="00FC3027">
            <w:pPr>
              <w:spacing w:before="0" w:after="0"/>
              <w:ind w:left="0"/>
              <w:rPr>
                <w:i/>
                <w:iCs/>
                <w:color w:val="FFFFFF" w:themeColor="background1"/>
              </w:rPr>
            </w:pPr>
          </w:p>
        </w:tc>
        <w:tc>
          <w:tcPr>
            <w:tcW w:w="4536" w:type="dxa"/>
          </w:tcPr>
          <w:p w14:paraId="31EFE1A2" w14:textId="00A819F2" w:rsidR="00FC3027" w:rsidRPr="00FC3027" w:rsidRDefault="00FC3027" w:rsidP="00FC3027">
            <w:pPr>
              <w:numPr>
                <w:ilvl w:val="0"/>
                <w:numId w:val="26"/>
              </w:numPr>
              <w:spacing w:before="0" w:after="0"/>
              <w:ind w:left="345" w:hanging="284"/>
              <w:contextualSpacing/>
              <w:rPr>
                <w:rFonts w:cstheme="minorHAnsi"/>
                <w:b/>
                <w:bCs/>
              </w:rPr>
            </w:pPr>
            <w:r w:rsidRPr="00FC3027">
              <w:rPr>
                <w:rFonts w:cs="Times New Roman (Body CS)"/>
              </w:rPr>
              <w:t>Equality and Health Inequalities Impact Assessment</w:t>
            </w:r>
          </w:p>
        </w:tc>
      </w:tr>
    </w:tbl>
    <w:p w14:paraId="264ED2B1" w14:textId="77777777" w:rsidR="00FC3027" w:rsidRPr="00FC3027" w:rsidRDefault="00FC3027" w:rsidP="00FC3027">
      <w:pPr>
        <w:keepNext/>
        <w:keepLines/>
        <w:spacing w:before="240"/>
        <w:ind w:left="0"/>
        <w:outlineLvl w:val="0"/>
        <w:rPr>
          <w:rFonts w:asciiTheme="majorHAnsi" w:eastAsiaTheme="majorEastAsia" w:hAnsiTheme="majorHAnsi" w:cstheme="majorBidi"/>
          <w:b/>
          <w:sz w:val="32"/>
          <w:szCs w:val="32"/>
        </w:rPr>
      </w:pPr>
      <w:r w:rsidRPr="00FC3027">
        <w:rPr>
          <w:rFonts w:asciiTheme="majorHAnsi" w:eastAsiaTheme="majorEastAsia" w:hAnsiTheme="majorHAnsi" w:cstheme="majorBidi"/>
          <w:b/>
          <w:sz w:val="32"/>
          <w:szCs w:val="32"/>
        </w:rPr>
        <w:t>Version History</w:t>
      </w:r>
    </w:p>
    <w:tbl>
      <w:tblPr>
        <w:tblStyle w:val="TableGrid"/>
        <w:tblW w:w="0" w:type="auto"/>
        <w:tblLook w:val="04A0" w:firstRow="1" w:lastRow="0" w:firstColumn="1" w:lastColumn="0" w:noHBand="0" w:noVBand="1"/>
      </w:tblPr>
      <w:tblGrid>
        <w:gridCol w:w="1075"/>
        <w:gridCol w:w="1418"/>
        <w:gridCol w:w="3039"/>
        <w:gridCol w:w="3484"/>
      </w:tblGrid>
      <w:tr w:rsidR="00FC3027" w:rsidRPr="00FC3027" w14:paraId="45F9A95F" w14:textId="77777777" w:rsidTr="00FC3027">
        <w:trPr>
          <w:trHeight w:val="489"/>
          <w:tblHeader/>
        </w:trPr>
        <w:tc>
          <w:tcPr>
            <w:tcW w:w="1085" w:type="dxa"/>
            <w:shd w:val="clear" w:color="auto" w:fill="003087" w:themeFill="accent1"/>
            <w:vAlign w:val="center"/>
          </w:tcPr>
          <w:p w14:paraId="38F59ED4" w14:textId="77777777" w:rsidR="00FC3027" w:rsidRPr="00FC3027" w:rsidRDefault="00FC3027" w:rsidP="00FC3027">
            <w:pPr>
              <w:spacing w:before="0" w:after="0"/>
              <w:ind w:left="0"/>
              <w:rPr>
                <w:rFonts w:eastAsiaTheme="minorEastAsia"/>
                <w:color w:val="FFFFFF" w:themeColor="background1"/>
                <w:sz w:val="22"/>
                <w:szCs w:val="22"/>
                <w:lang w:val="en-US" w:eastAsia="zh-CN"/>
              </w:rPr>
            </w:pPr>
            <w:r w:rsidRPr="00FC3027">
              <w:rPr>
                <w:rFonts w:eastAsiaTheme="minorEastAsia"/>
                <w:color w:val="FFFFFF" w:themeColor="background1"/>
                <w:sz w:val="22"/>
                <w:szCs w:val="22"/>
                <w:lang w:val="en-US" w:eastAsia="zh-CN"/>
              </w:rPr>
              <w:t>Version</w:t>
            </w:r>
          </w:p>
        </w:tc>
        <w:tc>
          <w:tcPr>
            <w:tcW w:w="1073" w:type="dxa"/>
            <w:shd w:val="clear" w:color="auto" w:fill="003087" w:themeFill="accent1"/>
            <w:vAlign w:val="center"/>
          </w:tcPr>
          <w:p w14:paraId="41DAEC47" w14:textId="77777777" w:rsidR="00FC3027" w:rsidRPr="00FC3027" w:rsidRDefault="00FC3027" w:rsidP="00FC3027">
            <w:pPr>
              <w:spacing w:before="0" w:after="0"/>
              <w:ind w:left="0"/>
              <w:rPr>
                <w:rFonts w:eastAsiaTheme="minorEastAsia"/>
                <w:color w:val="FFFFFF" w:themeColor="background1"/>
                <w:sz w:val="22"/>
                <w:szCs w:val="22"/>
                <w:lang w:val="en-US" w:eastAsia="zh-CN"/>
              </w:rPr>
            </w:pPr>
            <w:r w:rsidRPr="00FC3027">
              <w:rPr>
                <w:rFonts w:eastAsiaTheme="minorEastAsia"/>
                <w:color w:val="FFFFFF" w:themeColor="background1"/>
                <w:sz w:val="22"/>
                <w:szCs w:val="22"/>
                <w:lang w:val="en-US" w:eastAsia="zh-CN"/>
              </w:rPr>
              <w:t>Date</w:t>
            </w:r>
          </w:p>
        </w:tc>
        <w:tc>
          <w:tcPr>
            <w:tcW w:w="3184" w:type="dxa"/>
            <w:shd w:val="clear" w:color="auto" w:fill="003087" w:themeFill="accent1"/>
            <w:vAlign w:val="center"/>
          </w:tcPr>
          <w:p w14:paraId="06A741A7" w14:textId="77777777" w:rsidR="00FC3027" w:rsidRPr="00FC3027" w:rsidRDefault="00FC3027" w:rsidP="00FC3027">
            <w:pPr>
              <w:spacing w:before="0" w:after="0"/>
              <w:ind w:left="0"/>
              <w:rPr>
                <w:rFonts w:eastAsiaTheme="minorEastAsia"/>
                <w:color w:val="FFFFFF" w:themeColor="background1"/>
                <w:sz w:val="22"/>
                <w:szCs w:val="22"/>
                <w:lang w:val="en-US" w:eastAsia="zh-CN"/>
              </w:rPr>
            </w:pPr>
            <w:r w:rsidRPr="00FC3027">
              <w:rPr>
                <w:rFonts w:eastAsiaTheme="minorEastAsia"/>
                <w:color w:val="FFFFFF" w:themeColor="background1"/>
                <w:sz w:val="22"/>
                <w:szCs w:val="22"/>
                <w:lang w:val="en-US" w:eastAsia="zh-CN"/>
              </w:rPr>
              <w:t>Author (Name and Title)</w:t>
            </w:r>
          </w:p>
        </w:tc>
        <w:tc>
          <w:tcPr>
            <w:tcW w:w="3674" w:type="dxa"/>
            <w:shd w:val="clear" w:color="auto" w:fill="003087" w:themeFill="accent1"/>
            <w:vAlign w:val="center"/>
          </w:tcPr>
          <w:p w14:paraId="598E5FAF" w14:textId="77777777" w:rsidR="00FC3027" w:rsidRPr="00FC3027" w:rsidRDefault="00FC3027" w:rsidP="00FC3027">
            <w:pPr>
              <w:spacing w:before="0" w:after="0"/>
              <w:ind w:left="0"/>
              <w:rPr>
                <w:rFonts w:eastAsiaTheme="minorEastAsia"/>
                <w:color w:val="FFFFFF" w:themeColor="background1"/>
                <w:sz w:val="22"/>
                <w:szCs w:val="22"/>
                <w:lang w:val="en-US" w:eastAsia="zh-CN"/>
              </w:rPr>
            </w:pPr>
            <w:r w:rsidRPr="00FC3027">
              <w:rPr>
                <w:rFonts w:eastAsiaTheme="minorEastAsia"/>
                <w:color w:val="FFFFFF" w:themeColor="background1"/>
                <w:sz w:val="22"/>
                <w:szCs w:val="22"/>
                <w:lang w:val="en-US" w:eastAsia="zh-CN"/>
              </w:rPr>
              <w:t>Summary of amendments made</w:t>
            </w:r>
          </w:p>
        </w:tc>
      </w:tr>
      <w:tr w:rsidR="00FC3027" w:rsidRPr="00FC3027" w14:paraId="22FE2C78" w14:textId="77777777" w:rsidTr="00FC3027">
        <w:trPr>
          <w:trHeight w:val="424"/>
        </w:trPr>
        <w:tc>
          <w:tcPr>
            <w:tcW w:w="1085" w:type="dxa"/>
            <w:vAlign w:val="center"/>
          </w:tcPr>
          <w:p w14:paraId="15E37177" w14:textId="17431A21" w:rsidR="00FC3027" w:rsidRPr="00FC3027" w:rsidRDefault="00FC3027" w:rsidP="00A05288">
            <w:pPr>
              <w:spacing w:before="0" w:after="0"/>
              <w:ind w:left="0"/>
              <w:rPr>
                <w:rFonts w:eastAsiaTheme="minorEastAsia"/>
                <w:color w:val="auto"/>
                <w:sz w:val="22"/>
                <w:szCs w:val="22"/>
                <w:lang w:val="en-US" w:eastAsia="zh-CN"/>
              </w:rPr>
            </w:pPr>
            <w:r>
              <w:t>0.1</w:t>
            </w:r>
          </w:p>
        </w:tc>
        <w:tc>
          <w:tcPr>
            <w:tcW w:w="1073" w:type="dxa"/>
            <w:vAlign w:val="center"/>
          </w:tcPr>
          <w:p w14:paraId="51848E70" w14:textId="447C4FAB" w:rsidR="00FC3027" w:rsidRPr="00FC3027" w:rsidRDefault="00FC3027" w:rsidP="00A05288">
            <w:pPr>
              <w:spacing w:before="0" w:after="0"/>
              <w:ind w:left="0"/>
              <w:rPr>
                <w:rFonts w:eastAsiaTheme="minorEastAsia"/>
                <w:color w:val="auto"/>
                <w:sz w:val="22"/>
                <w:szCs w:val="22"/>
                <w:lang w:val="en-US" w:eastAsia="zh-CN"/>
              </w:rPr>
            </w:pPr>
            <w:r>
              <w:t>12/04/2022</w:t>
            </w:r>
          </w:p>
        </w:tc>
        <w:tc>
          <w:tcPr>
            <w:tcW w:w="3184" w:type="dxa"/>
            <w:vAlign w:val="center"/>
          </w:tcPr>
          <w:p w14:paraId="2A25D584" w14:textId="77777777" w:rsidR="00FC3027" w:rsidRDefault="00FC3027" w:rsidP="00A05288">
            <w:pPr>
              <w:pStyle w:val="NoSpacing"/>
            </w:pPr>
            <w:r>
              <w:t>David Triggs</w:t>
            </w:r>
          </w:p>
          <w:p w14:paraId="65593EF8" w14:textId="087CF6F5" w:rsidR="00FC3027" w:rsidRPr="00FC3027" w:rsidRDefault="00FC3027" w:rsidP="00A05288">
            <w:pPr>
              <w:spacing w:before="0" w:after="0"/>
              <w:ind w:left="0"/>
              <w:rPr>
                <w:rFonts w:eastAsiaTheme="minorEastAsia"/>
                <w:color w:val="auto"/>
                <w:sz w:val="22"/>
                <w:szCs w:val="22"/>
                <w:lang w:val="en-US" w:eastAsia="zh-CN"/>
              </w:rPr>
            </w:pPr>
            <w:r>
              <w:t>Governance Lead</w:t>
            </w:r>
          </w:p>
        </w:tc>
        <w:tc>
          <w:tcPr>
            <w:tcW w:w="3674" w:type="dxa"/>
            <w:vAlign w:val="center"/>
          </w:tcPr>
          <w:p w14:paraId="2BD19998" w14:textId="480B4289" w:rsidR="00FC3027" w:rsidRPr="00FC3027" w:rsidRDefault="00FC3027" w:rsidP="00A05288">
            <w:pPr>
              <w:spacing w:before="0" w:after="0"/>
              <w:ind w:left="0"/>
              <w:rPr>
                <w:rFonts w:eastAsiaTheme="minorEastAsia"/>
                <w:color w:val="auto"/>
                <w:sz w:val="22"/>
                <w:szCs w:val="22"/>
                <w:lang w:val="en-US" w:eastAsia="zh-CN"/>
              </w:rPr>
            </w:pPr>
            <w:r w:rsidRPr="00D877D4">
              <w:t>First draft of new Policy for Integrated Care Board</w:t>
            </w:r>
          </w:p>
        </w:tc>
      </w:tr>
      <w:tr w:rsidR="00FC3027" w:rsidRPr="00FC3027" w14:paraId="4C7790DE" w14:textId="77777777" w:rsidTr="00FC3027">
        <w:trPr>
          <w:trHeight w:val="424"/>
        </w:trPr>
        <w:tc>
          <w:tcPr>
            <w:tcW w:w="1085" w:type="dxa"/>
            <w:vAlign w:val="center"/>
          </w:tcPr>
          <w:p w14:paraId="0BFCBFAE" w14:textId="77777777" w:rsidR="00FC3027" w:rsidRPr="00D55277" w:rsidRDefault="00FC3027" w:rsidP="00A05288">
            <w:pPr>
              <w:spacing w:before="0" w:after="0"/>
              <w:ind w:left="0"/>
              <w:rPr>
                <w:rFonts w:eastAsiaTheme="minorEastAsia"/>
                <w:color w:val="auto"/>
                <w:lang w:val="en-US" w:eastAsia="zh-CN"/>
              </w:rPr>
            </w:pPr>
            <w:r w:rsidRPr="00D55277">
              <w:rPr>
                <w:rFonts w:eastAsiaTheme="minorEastAsia"/>
                <w:color w:val="auto"/>
                <w:lang w:val="en-US" w:eastAsia="zh-CN"/>
              </w:rPr>
              <w:t>0.2</w:t>
            </w:r>
          </w:p>
        </w:tc>
        <w:tc>
          <w:tcPr>
            <w:tcW w:w="1073" w:type="dxa"/>
            <w:vAlign w:val="center"/>
          </w:tcPr>
          <w:p w14:paraId="7A521FA5" w14:textId="2FF044D3" w:rsidR="00FC3027" w:rsidRPr="00D55277" w:rsidRDefault="00FC3027" w:rsidP="00A05288">
            <w:pPr>
              <w:spacing w:before="0" w:after="0"/>
              <w:ind w:left="0"/>
              <w:rPr>
                <w:rFonts w:eastAsiaTheme="minorEastAsia"/>
                <w:color w:val="auto"/>
                <w:lang w:val="en-US" w:eastAsia="zh-CN"/>
              </w:rPr>
            </w:pPr>
            <w:r w:rsidRPr="00D55277">
              <w:rPr>
                <w:rFonts w:eastAsiaTheme="minorEastAsia"/>
                <w:color w:val="auto"/>
                <w:lang w:val="en-US" w:eastAsia="zh-CN"/>
              </w:rPr>
              <w:t>30/05/22</w:t>
            </w:r>
          </w:p>
        </w:tc>
        <w:tc>
          <w:tcPr>
            <w:tcW w:w="3184" w:type="dxa"/>
            <w:vAlign w:val="center"/>
          </w:tcPr>
          <w:p w14:paraId="3B94E7F1" w14:textId="77777777" w:rsidR="00FC3027" w:rsidRPr="00D55277" w:rsidRDefault="00FC3027" w:rsidP="00A05288">
            <w:pPr>
              <w:spacing w:before="0" w:after="0"/>
              <w:ind w:left="0"/>
              <w:rPr>
                <w:rFonts w:eastAsiaTheme="minorEastAsia"/>
                <w:color w:val="auto"/>
                <w:lang w:val="en-US" w:eastAsia="zh-CN"/>
              </w:rPr>
            </w:pPr>
            <w:r w:rsidRPr="00D55277">
              <w:rPr>
                <w:rFonts w:eastAsiaTheme="minorEastAsia"/>
                <w:color w:val="auto"/>
                <w:lang w:val="en-US" w:eastAsia="zh-CN"/>
              </w:rPr>
              <w:t>Viv Barnes, Governance Lead</w:t>
            </w:r>
          </w:p>
        </w:tc>
        <w:tc>
          <w:tcPr>
            <w:tcW w:w="3674" w:type="dxa"/>
            <w:vAlign w:val="center"/>
          </w:tcPr>
          <w:p w14:paraId="5A92CAB6" w14:textId="266EB1E9" w:rsidR="00FC3027" w:rsidRPr="00D55277" w:rsidRDefault="00FC3027" w:rsidP="00A05288">
            <w:pPr>
              <w:spacing w:before="0" w:after="0"/>
              <w:ind w:left="0"/>
              <w:rPr>
                <w:rFonts w:eastAsiaTheme="minorEastAsia"/>
                <w:color w:val="auto"/>
                <w:lang w:val="en-US" w:eastAsia="zh-CN"/>
              </w:rPr>
            </w:pPr>
            <w:r w:rsidRPr="00D55277">
              <w:rPr>
                <w:rFonts w:eastAsiaTheme="minorEastAsia"/>
                <w:color w:val="auto"/>
                <w:lang w:val="en-US" w:eastAsia="zh-CN"/>
              </w:rPr>
              <w:t xml:space="preserve">Review of policy prior to submission to Audit Committees in common </w:t>
            </w:r>
          </w:p>
        </w:tc>
      </w:tr>
      <w:tr w:rsidR="00BB5FD4" w:rsidRPr="00FC3027" w14:paraId="75E7A414" w14:textId="77777777" w:rsidTr="00A05288">
        <w:trPr>
          <w:trHeight w:val="627"/>
        </w:trPr>
        <w:tc>
          <w:tcPr>
            <w:tcW w:w="1085" w:type="dxa"/>
            <w:vAlign w:val="center"/>
          </w:tcPr>
          <w:p w14:paraId="7C7098C8" w14:textId="650869ED" w:rsidR="00BB5FD4" w:rsidRPr="00D55277" w:rsidRDefault="00BB5FD4" w:rsidP="00A05288">
            <w:pPr>
              <w:spacing w:before="0" w:after="0"/>
              <w:ind w:left="0"/>
              <w:rPr>
                <w:rFonts w:eastAsiaTheme="minorEastAsia"/>
                <w:color w:val="auto"/>
                <w:lang w:val="en-US" w:eastAsia="zh-CN"/>
              </w:rPr>
            </w:pPr>
            <w:r>
              <w:rPr>
                <w:rFonts w:eastAsiaTheme="minorEastAsia"/>
                <w:color w:val="auto"/>
                <w:lang w:val="en-US" w:eastAsia="zh-CN"/>
              </w:rPr>
              <w:t>1.0</w:t>
            </w:r>
          </w:p>
        </w:tc>
        <w:tc>
          <w:tcPr>
            <w:tcW w:w="1073" w:type="dxa"/>
            <w:vAlign w:val="center"/>
          </w:tcPr>
          <w:p w14:paraId="06A21AC2" w14:textId="4341BEB3" w:rsidR="00A05288" w:rsidRPr="00A05288" w:rsidRDefault="00BB5FD4" w:rsidP="00A05288">
            <w:pPr>
              <w:spacing w:before="0" w:after="0"/>
              <w:ind w:left="0"/>
              <w:rPr>
                <w:rFonts w:eastAsiaTheme="minorEastAsia"/>
                <w:color w:val="auto"/>
                <w:lang w:val="en-US" w:eastAsia="zh-CN"/>
              </w:rPr>
            </w:pPr>
            <w:r>
              <w:rPr>
                <w:rFonts w:eastAsiaTheme="minorEastAsia"/>
                <w:color w:val="auto"/>
                <w:lang w:val="en-US" w:eastAsia="zh-CN"/>
              </w:rPr>
              <w:t>01/07/2022</w:t>
            </w:r>
          </w:p>
        </w:tc>
        <w:tc>
          <w:tcPr>
            <w:tcW w:w="3184" w:type="dxa"/>
            <w:vAlign w:val="center"/>
          </w:tcPr>
          <w:p w14:paraId="13E93FBF" w14:textId="09EFF319" w:rsidR="00BB5FD4" w:rsidRPr="00D55277" w:rsidRDefault="00BB5FD4" w:rsidP="00A05288">
            <w:pPr>
              <w:spacing w:before="0" w:after="0"/>
              <w:ind w:left="0"/>
              <w:rPr>
                <w:rFonts w:eastAsiaTheme="minorEastAsia"/>
                <w:color w:val="auto"/>
                <w:lang w:val="en-US" w:eastAsia="zh-CN"/>
              </w:rPr>
            </w:pPr>
            <w:r>
              <w:rPr>
                <w:rFonts w:eastAsiaTheme="minorEastAsia"/>
                <w:color w:val="auto"/>
                <w:lang w:val="en-US" w:eastAsia="zh-CN"/>
              </w:rPr>
              <w:t>Viv Barnes, Governance Lead</w:t>
            </w:r>
          </w:p>
        </w:tc>
        <w:tc>
          <w:tcPr>
            <w:tcW w:w="3674" w:type="dxa"/>
            <w:vAlign w:val="center"/>
          </w:tcPr>
          <w:p w14:paraId="763F4FDC" w14:textId="420024AE" w:rsidR="00BB5FD4" w:rsidRPr="00D55277" w:rsidRDefault="00BB5FD4" w:rsidP="00A05288">
            <w:pPr>
              <w:spacing w:before="0" w:after="0"/>
              <w:ind w:left="0"/>
              <w:rPr>
                <w:rFonts w:eastAsiaTheme="minorEastAsia"/>
                <w:color w:val="auto"/>
                <w:lang w:val="en-US" w:eastAsia="zh-CN"/>
              </w:rPr>
            </w:pPr>
            <w:r>
              <w:rPr>
                <w:rFonts w:eastAsiaTheme="minorEastAsia"/>
                <w:color w:val="auto"/>
                <w:lang w:val="en-US" w:eastAsia="zh-CN"/>
              </w:rPr>
              <w:t>Final approved ICB policy</w:t>
            </w:r>
          </w:p>
        </w:tc>
      </w:tr>
    </w:tbl>
    <w:bookmarkEnd w:id="1"/>
    <w:p w14:paraId="4E75AD1B" w14:textId="36E3F108" w:rsidR="00FD2B5D" w:rsidRPr="00DA22B6" w:rsidRDefault="000F560D" w:rsidP="00FD2B5D">
      <w:pPr>
        <w:pStyle w:val="Heading1"/>
      </w:pPr>
      <w:r>
        <w:t>Contents</w:t>
      </w:r>
    </w:p>
    <w:p w14:paraId="5E41D6C5" w14:textId="300AD720" w:rsidR="007B5378"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8354378" w:history="1">
        <w:r w:rsidR="007B5378" w:rsidRPr="00CD7CC5">
          <w:rPr>
            <w:rStyle w:val="Hyperlink"/>
            <w:noProof/>
          </w:rPr>
          <w:t>1.</w:t>
        </w:r>
        <w:r w:rsidR="007B5378">
          <w:rPr>
            <w:rFonts w:eastAsiaTheme="minorEastAsia"/>
            <w:b w:val="0"/>
            <w:noProof/>
            <w:color w:val="auto"/>
            <w:sz w:val="22"/>
            <w:szCs w:val="22"/>
            <w:lang w:eastAsia="en-GB"/>
          </w:rPr>
          <w:tab/>
        </w:r>
        <w:r w:rsidR="007B5378" w:rsidRPr="00CD7CC5">
          <w:rPr>
            <w:rStyle w:val="Hyperlink"/>
            <w:noProof/>
          </w:rPr>
          <w:t>Introduction</w:t>
        </w:r>
        <w:r w:rsidR="007B5378">
          <w:rPr>
            <w:noProof/>
            <w:webHidden/>
          </w:rPr>
          <w:tab/>
        </w:r>
        <w:r w:rsidR="007B5378">
          <w:rPr>
            <w:noProof/>
            <w:webHidden/>
          </w:rPr>
          <w:fldChar w:fldCharType="begin"/>
        </w:r>
        <w:r w:rsidR="007B5378">
          <w:rPr>
            <w:noProof/>
            <w:webHidden/>
          </w:rPr>
          <w:instrText xml:space="preserve"> PAGEREF _Toc108354378 \h </w:instrText>
        </w:r>
        <w:r w:rsidR="007B5378">
          <w:rPr>
            <w:noProof/>
            <w:webHidden/>
          </w:rPr>
        </w:r>
        <w:r w:rsidR="007B5378">
          <w:rPr>
            <w:noProof/>
            <w:webHidden/>
          </w:rPr>
          <w:fldChar w:fldCharType="separate"/>
        </w:r>
        <w:r w:rsidR="007B5378">
          <w:rPr>
            <w:noProof/>
            <w:webHidden/>
          </w:rPr>
          <w:t>3</w:t>
        </w:r>
        <w:r w:rsidR="007B5378">
          <w:rPr>
            <w:noProof/>
            <w:webHidden/>
          </w:rPr>
          <w:fldChar w:fldCharType="end"/>
        </w:r>
      </w:hyperlink>
    </w:p>
    <w:p w14:paraId="1ED92B32" w14:textId="060C6CC7" w:rsidR="007B5378" w:rsidRDefault="007B5378">
      <w:pPr>
        <w:pStyle w:val="TOC1"/>
        <w:rPr>
          <w:rFonts w:eastAsiaTheme="minorEastAsia"/>
          <w:b w:val="0"/>
          <w:noProof/>
          <w:color w:val="auto"/>
          <w:sz w:val="22"/>
          <w:szCs w:val="22"/>
          <w:lang w:eastAsia="en-GB"/>
        </w:rPr>
      </w:pPr>
      <w:hyperlink w:anchor="_Toc108354379" w:history="1">
        <w:r w:rsidRPr="00CD7CC5">
          <w:rPr>
            <w:rStyle w:val="Hyperlink"/>
            <w:noProof/>
          </w:rPr>
          <w:t>2.</w:t>
        </w:r>
        <w:r>
          <w:rPr>
            <w:rFonts w:eastAsiaTheme="minorEastAsia"/>
            <w:b w:val="0"/>
            <w:noProof/>
            <w:color w:val="auto"/>
            <w:sz w:val="22"/>
            <w:szCs w:val="22"/>
            <w:lang w:eastAsia="en-GB"/>
          </w:rPr>
          <w:tab/>
        </w:r>
        <w:r w:rsidRPr="00CD7CC5">
          <w:rPr>
            <w:rStyle w:val="Hyperlink"/>
            <w:noProof/>
          </w:rPr>
          <w:t>Purpose</w:t>
        </w:r>
        <w:r>
          <w:rPr>
            <w:noProof/>
            <w:webHidden/>
          </w:rPr>
          <w:tab/>
        </w:r>
        <w:r>
          <w:rPr>
            <w:noProof/>
            <w:webHidden/>
          </w:rPr>
          <w:fldChar w:fldCharType="begin"/>
        </w:r>
        <w:r>
          <w:rPr>
            <w:noProof/>
            <w:webHidden/>
          </w:rPr>
          <w:instrText xml:space="preserve"> PAGEREF _Toc108354379 \h </w:instrText>
        </w:r>
        <w:r>
          <w:rPr>
            <w:noProof/>
            <w:webHidden/>
          </w:rPr>
        </w:r>
        <w:r>
          <w:rPr>
            <w:noProof/>
            <w:webHidden/>
          </w:rPr>
          <w:fldChar w:fldCharType="separate"/>
        </w:r>
        <w:r>
          <w:rPr>
            <w:noProof/>
            <w:webHidden/>
          </w:rPr>
          <w:t>3</w:t>
        </w:r>
        <w:r>
          <w:rPr>
            <w:noProof/>
            <w:webHidden/>
          </w:rPr>
          <w:fldChar w:fldCharType="end"/>
        </w:r>
      </w:hyperlink>
    </w:p>
    <w:p w14:paraId="0C5AD8A9" w14:textId="19ADBBB4" w:rsidR="007B5378" w:rsidRDefault="007B5378">
      <w:pPr>
        <w:pStyle w:val="TOC1"/>
        <w:rPr>
          <w:rFonts w:eastAsiaTheme="minorEastAsia"/>
          <w:b w:val="0"/>
          <w:noProof/>
          <w:color w:val="auto"/>
          <w:sz w:val="22"/>
          <w:szCs w:val="22"/>
          <w:lang w:eastAsia="en-GB"/>
        </w:rPr>
      </w:pPr>
      <w:hyperlink w:anchor="_Toc108354380" w:history="1">
        <w:r w:rsidRPr="00CD7CC5">
          <w:rPr>
            <w:rStyle w:val="Hyperlink"/>
            <w:noProof/>
          </w:rPr>
          <w:t>3.</w:t>
        </w:r>
        <w:r>
          <w:rPr>
            <w:rFonts w:eastAsiaTheme="minorEastAsia"/>
            <w:b w:val="0"/>
            <w:noProof/>
            <w:color w:val="auto"/>
            <w:sz w:val="22"/>
            <w:szCs w:val="22"/>
            <w:lang w:eastAsia="en-GB"/>
          </w:rPr>
          <w:tab/>
        </w:r>
        <w:r w:rsidRPr="00CD7CC5">
          <w:rPr>
            <w:rStyle w:val="Hyperlink"/>
            <w:noProof/>
          </w:rPr>
          <w:t>Definitions</w:t>
        </w:r>
        <w:r>
          <w:rPr>
            <w:noProof/>
            <w:webHidden/>
          </w:rPr>
          <w:tab/>
        </w:r>
        <w:r>
          <w:rPr>
            <w:noProof/>
            <w:webHidden/>
          </w:rPr>
          <w:fldChar w:fldCharType="begin"/>
        </w:r>
        <w:r>
          <w:rPr>
            <w:noProof/>
            <w:webHidden/>
          </w:rPr>
          <w:instrText xml:space="preserve"> PAGEREF _Toc108354380 \h </w:instrText>
        </w:r>
        <w:r>
          <w:rPr>
            <w:noProof/>
            <w:webHidden/>
          </w:rPr>
        </w:r>
        <w:r>
          <w:rPr>
            <w:noProof/>
            <w:webHidden/>
          </w:rPr>
          <w:fldChar w:fldCharType="separate"/>
        </w:r>
        <w:r>
          <w:rPr>
            <w:noProof/>
            <w:webHidden/>
          </w:rPr>
          <w:t>3</w:t>
        </w:r>
        <w:r>
          <w:rPr>
            <w:noProof/>
            <w:webHidden/>
          </w:rPr>
          <w:fldChar w:fldCharType="end"/>
        </w:r>
      </w:hyperlink>
    </w:p>
    <w:p w14:paraId="1436876A" w14:textId="5BF415D0" w:rsidR="007B5378" w:rsidRDefault="007B5378">
      <w:pPr>
        <w:pStyle w:val="TOC1"/>
        <w:rPr>
          <w:rFonts w:eastAsiaTheme="minorEastAsia"/>
          <w:b w:val="0"/>
          <w:noProof/>
          <w:color w:val="auto"/>
          <w:sz w:val="22"/>
          <w:szCs w:val="22"/>
          <w:lang w:eastAsia="en-GB"/>
        </w:rPr>
      </w:pPr>
      <w:hyperlink w:anchor="_Toc108354381" w:history="1">
        <w:r w:rsidRPr="00CD7CC5">
          <w:rPr>
            <w:rStyle w:val="Hyperlink"/>
            <w:noProof/>
          </w:rPr>
          <w:t>4.</w:t>
        </w:r>
        <w:r>
          <w:rPr>
            <w:rFonts w:eastAsiaTheme="minorEastAsia"/>
            <w:b w:val="0"/>
            <w:noProof/>
            <w:color w:val="auto"/>
            <w:sz w:val="22"/>
            <w:szCs w:val="22"/>
            <w:lang w:eastAsia="en-GB"/>
          </w:rPr>
          <w:tab/>
        </w:r>
        <w:r w:rsidRPr="00CD7CC5">
          <w:rPr>
            <w:rStyle w:val="Hyperlink"/>
            <w:noProof/>
          </w:rPr>
          <w:t>Roles and Responsibilities</w:t>
        </w:r>
        <w:r>
          <w:rPr>
            <w:noProof/>
            <w:webHidden/>
          </w:rPr>
          <w:tab/>
        </w:r>
        <w:r>
          <w:rPr>
            <w:noProof/>
            <w:webHidden/>
          </w:rPr>
          <w:fldChar w:fldCharType="begin"/>
        </w:r>
        <w:r>
          <w:rPr>
            <w:noProof/>
            <w:webHidden/>
          </w:rPr>
          <w:instrText xml:space="preserve"> PAGEREF _Toc108354381 \h </w:instrText>
        </w:r>
        <w:r>
          <w:rPr>
            <w:noProof/>
            <w:webHidden/>
          </w:rPr>
        </w:r>
        <w:r>
          <w:rPr>
            <w:noProof/>
            <w:webHidden/>
          </w:rPr>
          <w:fldChar w:fldCharType="separate"/>
        </w:r>
        <w:r>
          <w:rPr>
            <w:noProof/>
            <w:webHidden/>
          </w:rPr>
          <w:t>3</w:t>
        </w:r>
        <w:r>
          <w:rPr>
            <w:noProof/>
            <w:webHidden/>
          </w:rPr>
          <w:fldChar w:fldCharType="end"/>
        </w:r>
      </w:hyperlink>
    </w:p>
    <w:p w14:paraId="0AF5B3F2" w14:textId="6C50E48D" w:rsidR="007B5378" w:rsidRDefault="007B5378">
      <w:pPr>
        <w:pStyle w:val="TOC2"/>
        <w:tabs>
          <w:tab w:val="right" w:leader="underscore" w:pos="9016"/>
        </w:tabs>
        <w:rPr>
          <w:rFonts w:eastAsiaTheme="minorEastAsia"/>
          <w:noProof/>
          <w:color w:val="auto"/>
          <w:sz w:val="22"/>
          <w:szCs w:val="22"/>
          <w:lang w:eastAsia="en-GB"/>
        </w:rPr>
      </w:pPr>
      <w:hyperlink w:anchor="_Toc108354382" w:history="1">
        <w:r w:rsidRPr="00CD7CC5">
          <w:rPr>
            <w:rStyle w:val="Hyperlink"/>
            <w:noProof/>
          </w:rPr>
          <w:t>4.1.</w:t>
        </w:r>
        <w:r>
          <w:rPr>
            <w:rFonts w:eastAsiaTheme="minorEastAsia"/>
            <w:noProof/>
            <w:color w:val="auto"/>
            <w:sz w:val="22"/>
            <w:szCs w:val="22"/>
            <w:lang w:eastAsia="en-GB"/>
          </w:rPr>
          <w:tab/>
        </w:r>
        <w:r w:rsidRPr="00CD7CC5">
          <w:rPr>
            <w:rStyle w:val="Hyperlink"/>
            <w:noProof/>
          </w:rPr>
          <w:t>ICB Board</w:t>
        </w:r>
        <w:r>
          <w:rPr>
            <w:noProof/>
            <w:webHidden/>
          </w:rPr>
          <w:tab/>
        </w:r>
        <w:r>
          <w:rPr>
            <w:noProof/>
            <w:webHidden/>
          </w:rPr>
          <w:fldChar w:fldCharType="begin"/>
        </w:r>
        <w:r>
          <w:rPr>
            <w:noProof/>
            <w:webHidden/>
          </w:rPr>
          <w:instrText xml:space="preserve"> PAGEREF _Toc108354382 \h </w:instrText>
        </w:r>
        <w:r>
          <w:rPr>
            <w:noProof/>
            <w:webHidden/>
          </w:rPr>
        </w:r>
        <w:r>
          <w:rPr>
            <w:noProof/>
            <w:webHidden/>
          </w:rPr>
          <w:fldChar w:fldCharType="separate"/>
        </w:r>
        <w:r>
          <w:rPr>
            <w:noProof/>
            <w:webHidden/>
          </w:rPr>
          <w:t>3</w:t>
        </w:r>
        <w:r>
          <w:rPr>
            <w:noProof/>
            <w:webHidden/>
          </w:rPr>
          <w:fldChar w:fldCharType="end"/>
        </w:r>
      </w:hyperlink>
    </w:p>
    <w:p w14:paraId="0F04F481" w14:textId="1845D3AF" w:rsidR="007B5378" w:rsidRDefault="007B5378">
      <w:pPr>
        <w:pStyle w:val="TOC2"/>
        <w:tabs>
          <w:tab w:val="right" w:leader="underscore" w:pos="9016"/>
        </w:tabs>
        <w:rPr>
          <w:rFonts w:eastAsiaTheme="minorEastAsia"/>
          <w:noProof/>
          <w:color w:val="auto"/>
          <w:sz w:val="22"/>
          <w:szCs w:val="22"/>
          <w:lang w:eastAsia="en-GB"/>
        </w:rPr>
      </w:pPr>
      <w:hyperlink w:anchor="_Toc108354383" w:history="1">
        <w:r w:rsidRPr="00CD7CC5">
          <w:rPr>
            <w:rStyle w:val="Hyperlink"/>
            <w:noProof/>
          </w:rPr>
          <w:t>4.2.</w:t>
        </w:r>
        <w:r>
          <w:rPr>
            <w:rFonts w:eastAsiaTheme="minorEastAsia"/>
            <w:noProof/>
            <w:color w:val="auto"/>
            <w:sz w:val="22"/>
            <w:szCs w:val="22"/>
            <w:lang w:eastAsia="en-GB"/>
          </w:rPr>
          <w:tab/>
        </w:r>
        <w:r w:rsidRPr="00CD7CC5">
          <w:rPr>
            <w:rStyle w:val="Hyperlink"/>
            <w:noProof/>
          </w:rPr>
          <w:t>Audit Committee</w:t>
        </w:r>
        <w:r>
          <w:rPr>
            <w:noProof/>
            <w:webHidden/>
          </w:rPr>
          <w:tab/>
        </w:r>
        <w:r>
          <w:rPr>
            <w:noProof/>
            <w:webHidden/>
          </w:rPr>
          <w:fldChar w:fldCharType="begin"/>
        </w:r>
        <w:r>
          <w:rPr>
            <w:noProof/>
            <w:webHidden/>
          </w:rPr>
          <w:instrText xml:space="preserve"> PAGEREF _Toc108354383 \h </w:instrText>
        </w:r>
        <w:r>
          <w:rPr>
            <w:noProof/>
            <w:webHidden/>
          </w:rPr>
        </w:r>
        <w:r>
          <w:rPr>
            <w:noProof/>
            <w:webHidden/>
          </w:rPr>
          <w:fldChar w:fldCharType="separate"/>
        </w:r>
        <w:r>
          <w:rPr>
            <w:noProof/>
            <w:webHidden/>
          </w:rPr>
          <w:t>3</w:t>
        </w:r>
        <w:r>
          <w:rPr>
            <w:noProof/>
            <w:webHidden/>
          </w:rPr>
          <w:fldChar w:fldCharType="end"/>
        </w:r>
      </w:hyperlink>
    </w:p>
    <w:p w14:paraId="4C24A512" w14:textId="61303B84" w:rsidR="007B5378" w:rsidRDefault="007B5378">
      <w:pPr>
        <w:pStyle w:val="TOC2"/>
        <w:tabs>
          <w:tab w:val="right" w:leader="underscore" w:pos="9016"/>
        </w:tabs>
        <w:rPr>
          <w:rFonts w:eastAsiaTheme="minorEastAsia"/>
          <w:noProof/>
          <w:color w:val="auto"/>
          <w:sz w:val="22"/>
          <w:szCs w:val="22"/>
          <w:lang w:eastAsia="en-GB"/>
        </w:rPr>
      </w:pPr>
      <w:hyperlink w:anchor="_Toc108354384" w:history="1">
        <w:r w:rsidRPr="00CD7CC5">
          <w:rPr>
            <w:rStyle w:val="Hyperlink"/>
            <w:noProof/>
          </w:rPr>
          <w:t>4.3.</w:t>
        </w:r>
        <w:r>
          <w:rPr>
            <w:rFonts w:eastAsiaTheme="minorEastAsia"/>
            <w:noProof/>
            <w:color w:val="auto"/>
            <w:sz w:val="22"/>
            <w:szCs w:val="22"/>
            <w:lang w:eastAsia="en-GB"/>
          </w:rPr>
          <w:tab/>
        </w:r>
        <w:r w:rsidRPr="00CD7CC5">
          <w:rPr>
            <w:rStyle w:val="Hyperlink"/>
            <w:noProof/>
          </w:rPr>
          <w:t>Chief Executive</w:t>
        </w:r>
        <w:r>
          <w:rPr>
            <w:noProof/>
            <w:webHidden/>
          </w:rPr>
          <w:tab/>
        </w:r>
        <w:r>
          <w:rPr>
            <w:noProof/>
            <w:webHidden/>
          </w:rPr>
          <w:fldChar w:fldCharType="begin"/>
        </w:r>
        <w:r>
          <w:rPr>
            <w:noProof/>
            <w:webHidden/>
          </w:rPr>
          <w:instrText xml:space="preserve"> PAGEREF _Toc108354384 \h </w:instrText>
        </w:r>
        <w:r>
          <w:rPr>
            <w:noProof/>
            <w:webHidden/>
          </w:rPr>
        </w:r>
        <w:r>
          <w:rPr>
            <w:noProof/>
            <w:webHidden/>
          </w:rPr>
          <w:fldChar w:fldCharType="separate"/>
        </w:r>
        <w:r>
          <w:rPr>
            <w:noProof/>
            <w:webHidden/>
          </w:rPr>
          <w:t>4</w:t>
        </w:r>
        <w:r>
          <w:rPr>
            <w:noProof/>
            <w:webHidden/>
          </w:rPr>
          <w:fldChar w:fldCharType="end"/>
        </w:r>
      </w:hyperlink>
    </w:p>
    <w:p w14:paraId="34DD83D3" w14:textId="383718DB" w:rsidR="007B5378" w:rsidRDefault="007B5378">
      <w:pPr>
        <w:pStyle w:val="TOC2"/>
        <w:tabs>
          <w:tab w:val="right" w:leader="underscore" w:pos="9016"/>
        </w:tabs>
        <w:rPr>
          <w:rFonts w:eastAsiaTheme="minorEastAsia"/>
          <w:noProof/>
          <w:color w:val="auto"/>
          <w:sz w:val="22"/>
          <w:szCs w:val="22"/>
          <w:lang w:eastAsia="en-GB"/>
        </w:rPr>
      </w:pPr>
      <w:hyperlink w:anchor="_Toc108354385" w:history="1">
        <w:r w:rsidRPr="00CD7CC5">
          <w:rPr>
            <w:rStyle w:val="Hyperlink"/>
            <w:noProof/>
          </w:rPr>
          <w:t>4.4.</w:t>
        </w:r>
        <w:r>
          <w:rPr>
            <w:rFonts w:eastAsiaTheme="minorEastAsia"/>
            <w:noProof/>
            <w:color w:val="auto"/>
            <w:sz w:val="22"/>
            <w:szCs w:val="22"/>
            <w:lang w:eastAsia="en-GB"/>
          </w:rPr>
          <w:tab/>
        </w:r>
        <w:r w:rsidRPr="00CD7CC5">
          <w:rPr>
            <w:rStyle w:val="Hyperlink"/>
            <w:noProof/>
          </w:rPr>
          <w:t>Chief of Staff</w:t>
        </w:r>
        <w:r>
          <w:rPr>
            <w:noProof/>
            <w:webHidden/>
          </w:rPr>
          <w:tab/>
        </w:r>
        <w:r>
          <w:rPr>
            <w:noProof/>
            <w:webHidden/>
          </w:rPr>
          <w:fldChar w:fldCharType="begin"/>
        </w:r>
        <w:r>
          <w:rPr>
            <w:noProof/>
            <w:webHidden/>
          </w:rPr>
          <w:instrText xml:space="preserve"> PAGEREF _Toc108354385 \h </w:instrText>
        </w:r>
        <w:r>
          <w:rPr>
            <w:noProof/>
            <w:webHidden/>
          </w:rPr>
        </w:r>
        <w:r>
          <w:rPr>
            <w:noProof/>
            <w:webHidden/>
          </w:rPr>
          <w:fldChar w:fldCharType="separate"/>
        </w:r>
        <w:r>
          <w:rPr>
            <w:noProof/>
            <w:webHidden/>
          </w:rPr>
          <w:t>4</w:t>
        </w:r>
        <w:r>
          <w:rPr>
            <w:noProof/>
            <w:webHidden/>
          </w:rPr>
          <w:fldChar w:fldCharType="end"/>
        </w:r>
      </w:hyperlink>
    </w:p>
    <w:p w14:paraId="3116F8CA" w14:textId="4E6F36FB" w:rsidR="007B5378" w:rsidRDefault="007B5378">
      <w:pPr>
        <w:pStyle w:val="TOC2"/>
        <w:tabs>
          <w:tab w:val="right" w:leader="underscore" w:pos="9016"/>
        </w:tabs>
        <w:rPr>
          <w:rFonts w:eastAsiaTheme="minorEastAsia"/>
          <w:noProof/>
          <w:color w:val="auto"/>
          <w:sz w:val="22"/>
          <w:szCs w:val="22"/>
          <w:lang w:eastAsia="en-GB"/>
        </w:rPr>
      </w:pPr>
      <w:hyperlink w:anchor="_Toc108354386" w:history="1">
        <w:r w:rsidRPr="00CD7CC5">
          <w:rPr>
            <w:rStyle w:val="Hyperlink"/>
            <w:noProof/>
          </w:rPr>
          <w:t>4.5.</w:t>
        </w:r>
        <w:r>
          <w:rPr>
            <w:rFonts w:eastAsiaTheme="minorEastAsia"/>
            <w:noProof/>
            <w:color w:val="auto"/>
            <w:sz w:val="22"/>
            <w:szCs w:val="22"/>
            <w:lang w:eastAsia="en-GB"/>
          </w:rPr>
          <w:tab/>
        </w:r>
        <w:r w:rsidRPr="00CD7CC5">
          <w:rPr>
            <w:rStyle w:val="Hyperlink"/>
            <w:noProof/>
          </w:rPr>
          <w:t>Director of Resources</w:t>
        </w:r>
        <w:r>
          <w:rPr>
            <w:noProof/>
            <w:webHidden/>
          </w:rPr>
          <w:tab/>
        </w:r>
        <w:r>
          <w:rPr>
            <w:noProof/>
            <w:webHidden/>
          </w:rPr>
          <w:fldChar w:fldCharType="begin"/>
        </w:r>
        <w:r>
          <w:rPr>
            <w:noProof/>
            <w:webHidden/>
          </w:rPr>
          <w:instrText xml:space="preserve"> PAGEREF _Toc108354386 \h </w:instrText>
        </w:r>
        <w:r>
          <w:rPr>
            <w:noProof/>
            <w:webHidden/>
          </w:rPr>
        </w:r>
        <w:r>
          <w:rPr>
            <w:noProof/>
            <w:webHidden/>
          </w:rPr>
          <w:fldChar w:fldCharType="separate"/>
        </w:r>
        <w:r>
          <w:rPr>
            <w:noProof/>
            <w:webHidden/>
          </w:rPr>
          <w:t>4</w:t>
        </w:r>
        <w:r>
          <w:rPr>
            <w:noProof/>
            <w:webHidden/>
          </w:rPr>
          <w:fldChar w:fldCharType="end"/>
        </w:r>
      </w:hyperlink>
    </w:p>
    <w:p w14:paraId="59532DA1" w14:textId="7498287D" w:rsidR="007B5378" w:rsidRDefault="007B5378">
      <w:pPr>
        <w:pStyle w:val="TOC2"/>
        <w:tabs>
          <w:tab w:val="right" w:leader="underscore" w:pos="9016"/>
        </w:tabs>
        <w:rPr>
          <w:rFonts w:eastAsiaTheme="minorEastAsia"/>
          <w:noProof/>
          <w:color w:val="auto"/>
          <w:sz w:val="22"/>
          <w:szCs w:val="22"/>
          <w:lang w:eastAsia="en-GB"/>
        </w:rPr>
      </w:pPr>
      <w:hyperlink w:anchor="_Toc108354387" w:history="1">
        <w:r w:rsidRPr="00CD7CC5">
          <w:rPr>
            <w:rStyle w:val="Hyperlink"/>
            <w:noProof/>
          </w:rPr>
          <w:t>4.6.</w:t>
        </w:r>
        <w:r>
          <w:rPr>
            <w:rFonts w:eastAsiaTheme="minorEastAsia"/>
            <w:noProof/>
            <w:color w:val="auto"/>
            <w:sz w:val="22"/>
            <w:szCs w:val="22"/>
            <w:lang w:eastAsia="en-GB"/>
          </w:rPr>
          <w:tab/>
        </w:r>
        <w:r w:rsidRPr="00CD7CC5">
          <w:rPr>
            <w:rStyle w:val="Hyperlink"/>
            <w:noProof/>
          </w:rPr>
          <w:t>Policy Author</w:t>
        </w:r>
        <w:r>
          <w:rPr>
            <w:noProof/>
            <w:webHidden/>
          </w:rPr>
          <w:tab/>
        </w:r>
        <w:r>
          <w:rPr>
            <w:noProof/>
            <w:webHidden/>
          </w:rPr>
          <w:fldChar w:fldCharType="begin"/>
        </w:r>
        <w:r>
          <w:rPr>
            <w:noProof/>
            <w:webHidden/>
          </w:rPr>
          <w:instrText xml:space="preserve"> PAGEREF _Toc108354387 \h </w:instrText>
        </w:r>
        <w:r>
          <w:rPr>
            <w:noProof/>
            <w:webHidden/>
          </w:rPr>
        </w:r>
        <w:r>
          <w:rPr>
            <w:noProof/>
            <w:webHidden/>
          </w:rPr>
          <w:fldChar w:fldCharType="separate"/>
        </w:r>
        <w:r>
          <w:rPr>
            <w:noProof/>
            <w:webHidden/>
          </w:rPr>
          <w:t>4</w:t>
        </w:r>
        <w:r>
          <w:rPr>
            <w:noProof/>
            <w:webHidden/>
          </w:rPr>
          <w:fldChar w:fldCharType="end"/>
        </w:r>
      </w:hyperlink>
    </w:p>
    <w:p w14:paraId="670A67EE" w14:textId="1687A768" w:rsidR="007B5378" w:rsidRDefault="007B5378">
      <w:pPr>
        <w:pStyle w:val="TOC2"/>
        <w:tabs>
          <w:tab w:val="right" w:leader="underscore" w:pos="9016"/>
        </w:tabs>
        <w:rPr>
          <w:rFonts w:eastAsiaTheme="minorEastAsia"/>
          <w:noProof/>
          <w:color w:val="auto"/>
          <w:sz w:val="22"/>
          <w:szCs w:val="22"/>
          <w:lang w:eastAsia="en-GB"/>
        </w:rPr>
      </w:pPr>
      <w:hyperlink w:anchor="_Toc108354388" w:history="1">
        <w:r w:rsidRPr="00CD7CC5">
          <w:rPr>
            <w:rStyle w:val="Hyperlink"/>
            <w:noProof/>
          </w:rPr>
          <w:t>4.7.</w:t>
        </w:r>
        <w:r>
          <w:rPr>
            <w:rFonts w:eastAsiaTheme="minorEastAsia"/>
            <w:noProof/>
            <w:color w:val="auto"/>
            <w:sz w:val="22"/>
            <w:szCs w:val="22"/>
            <w:lang w:eastAsia="en-GB"/>
          </w:rPr>
          <w:tab/>
        </w:r>
        <w:r w:rsidRPr="00CD7CC5">
          <w:rPr>
            <w:rStyle w:val="Hyperlink"/>
            <w:noProof/>
          </w:rPr>
          <w:t>Line Managers</w:t>
        </w:r>
        <w:r>
          <w:rPr>
            <w:noProof/>
            <w:webHidden/>
          </w:rPr>
          <w:tab/>
        </w:r>
        <w:r>
          <w:rPr>
            <w:noProof/>
            <w:webHidden/>
          </w:rPr>
          <w:fldChar w:fldCharType="begin"/>
        </w:r>
        <w:r>
          <w:rPr>
            <w:noProof/>
            <w:webHidden/>
          </w:rPr>
          <w:instrText xml:space="preserve"> PAGEREF _Toc108354388 \h </w:instrText>
        </w:r>
        <w:r>
          <w:rPr>
            <w:noProof/>
            <w:webHidden/>
          </w:rPr>
        </w:r>
        <w:r>
          <w:rPr>
            <w:noProof/>
            <w:webHidden/>
          </w:rPr>
          <w:fldChar w:fldCharType="separate"/>
        </w:r>
        <w:r>
          <w:rPr>
            <w:noProof/>
            <w:webHidden/>
          </w:rPr>
          <w:t>4</w:t>
        </w:r>
        <w:r>
          <w:rPr>
            <w:noProof/>
            <w:webHidden/>
          </w:rPr>
          <w:fldChar w:fldCharType="end"/>
        </w:r>
      </w:hyperlink>
    </w:p>
    <w:p w14:paraId="15420BA0" w14:textId="1232A573" w:rsidR="007B5378" w:rsidRDefault="007B5378">
      <w:pPr>
        <w:pStyle w:val="TOC2"/>
        <w:tabs>
          <w:tab w:val="right" w:leader="underscore" w:pos="9016"/>
        </w:tabs>
        <w:rPr>
          <w:rFonts w:eastAsiaTheme="minorEastAsia"/>
          <w:noProof/>
          <w:color w:val="auto"/>
          <w:sz w:val="22"/>
          <w:szCs w:val="22"/>
          <w:lang w:eastAsia="en-GB"/>
        </w:rPr>
      </w:pPr>
      <w:hyperlink w:anchor="_Toc108354389" w:history="1">
        <w:r w:rsidRPr="00CD7CC5">
          <w:rPr>
            <w:rStyle w:val="Hyperlink"/>
            <w:noProof/>
          </w:rPr>
          <w:t>4.8.</w:t>
        </w:r>
        <w:r>
          <w:rPr>
            <w:rFonts w:eastAsiaTheme="minorEastAsia"/>
            <w:noProof/>
            <w:color w:val="auto"/>
            <w:sz w:val="22"/>
            <w:szCs w:val="22"/>
            <w:lang w:eastAsia="en-GB"/>
          </w:rPr>
          <w:tab/>
        </w:r>
        <w:r w:rsidRPr="00CD7CC5">
          <w:rPr>
            <w:rStyle w:val="Hyperlink"/>
            <w:noProof/>
          </w:rPr>
          <w:t>All Staff</w:t>
        </w:r>
        <w:r>
          <w:rPr>
            <w:noProof/>
            <w:webHidden/>
          </w:rPr>
          <w:tab/>
        </w:r>
        <w:r>
          <w:rPr>
            <w:noProof/>
            <w:webHidden/>
          </w:rPr>
          <w:fldChar w:fldCharType="begin"/>
        </w:r>
        <w:r>
          <w:rPr>
            <w:noProof/>
            <w:webHidden/>
          </w:rPr>
          <w:instrText xml:space="preserve"> PAGEREF _Toc108354389 \h </w:instrText>
        </w:r>
        <w:r>
          <w:rPr>
            <w:noProof/>
            <w:webHidden/>
          </w:rPr>
        </w:r>
        <w:r>
          <w:rPr>
            <w:noProof/>
            <w:webHidden/>
          </w:rPr>
          <w:fldChar w:fldCharType="separate"/>
        </w:r>
        <w:r>
          <w:rPr>
            <w:noProof/>
            <w:webHidden/>
          </w:rPr>
          <w:t>4</w:t>
        </w:r>
        <w:r>
          <w:rPr>
            <w:noProof/>
            <w:webHidden/>
          </w:rPr>
          <w:fldChar w:fldCharType="end"/>
        </w:r>
      </w:hyperlink>
    </w:p>
    <w:p w14:paraId="21C4BDC3" w14:textId="4DABA305" w:rsidR="007B5378" w:rsidRDefault="007B5378">
      <w:pPr>
        <w:pStyle w:val="TOC1"/>
        <w:rPr>
          <w:rFonts w:eastAsiaTheme="minorEastAsia"/>
          <w:b w:val="0"/>
          <w:noProof/>
          <w:color w:val="auto"/>
          <w:sz w:val="22"/>
          <w:szCs w:val="22"/>
          <w:lang w:eastAsia="en-GB"/>
        </w:rPr>
      </w:pPr>
      <w:hyperlink w:anchor="_Toc108354390" w:history="1">
        <w:r w:rsidRPr="00CD7CC5">
          <w:rPr>
            <w:rStyle w:val="Hyperlink"/>
            <w:noProof/>
          </w:rPr>
          <w:t>5.</w:t>
        </w:r>
        <w:r>
          <w:rPr>
            <w:rFonts w:eastAsiaTheme="minorEastAsia"/>
            <w:b w:val="0"/>
            <w:noProof/>
            <w:color w:val="auto"/>
            <w:sz w:val="22"/>
            <w:szCs w:val="22"/>
            <w:lang w:eastAsia="en-GB"/>
          </w:rPr>
          <w:tab/>
        </w:r>
        <w:r w:rsidRPr="00CD7CC5">
          <w:rPr>
            <w:rStyle w:val="Hyperlink"/>
            <w:noProof/>
          </w:rPr>
          <w:t>Policy Detail</w:t>
        </w:r>
        <w:r>
          <w:rPr>
            <w:noProof/>
            <w:webHidden/>
          </w:rPr>
          <w:tab/>
        </w:r>
        <w:r>
          <w:rPr>
            <w:noProof/>
            <w:webHidden/>
          </w:rPr>
          <w:fldChar w:fldCharType="begin"/>
        </w:r>
        <w:r>
          <w:rPr>
            <w:noProof/>
            <w:webHidden/>
          </w:rPr>
          <w:instrText xml:space="preserve"> PAGEREF _Toc108354390 \h </w:instrText>
        </w:r>
        <w:r>
          <w:rPr>
            <w:noProof/>
            <w:webHidden/>
          </w:rPr>
        </w:r>
        <w:r>
          <w:rPr>
            <w:noProof/>
            <w:webHidden/>
          </w:rPr>
          <w:fldChar w:fldCharType="separate"/>
        </w:r>
        <w:r>
          <w:rPr>
            <w:noProof/>
            <w:webHidden/>
          </w:rPr>
          <w:t>5</w:t>
        </w:r>
        <w:r>
          <w:rPr>
            <w:noProof/>
            <w:webHidden/>
          </w:rPr>
          <w:fldChar w:fldCharType="end"/>
        </w:r>
      </w:hyperlink>
    </w:p>
    <w:p w14:paraId="13B0A401" w14:textId="0856F327" w:rsidR="007B5378" w:rsidRDefault="007B5378">
      <w:pPr>
        <w:pStyle w:val="TOC2"/>
        <w:tabs>
          <w:tab w:val="right" w:leader="underscore" w:pos="9016"/>
        </w:tabs>
        <w:rPr>
          <w:rFonts w:eastAsiaTheme="minorEastAsia"/>
          <w:noProof/>
          <w:color w:val="auto"/>
          <w:sz w:val="22"/>
          <w:szCs w:val="22"/>
          <w:lang w:eastAsia="en-GB"/>
        </w:rPr>
      </w:pPr>
      <w:hyperlink w:anchor="_Toc108354391" w:history="1">
        <w:r w:rsidRPr="00CD7CC5">
          <w:rPr>
            <w:rStyle w:val="Hyperlink"/>
            <w:noProof/>
          </w:rPr>
          <w:t>5.1.</w:t>
        </w:r>
        <w:r>
          <w:rPr>
            <w:rFonts w:eastAsiaTheme="minorEastAsia"/>
            <w:noProof/>
            <w:color w:val="auto"/>
            <w:sz w:val="22"/>
            <w:szCs w:val="22"/>
            <w:lang w:eastAsia="en-GB"/>
          </w:rPr>
          <w:tab/>
        </w:r>
        <w:r w:rsidRPr="00CD7CC5">
          <w:rPr>
            <w:rStyle w:val="Hyperlink"/>
            <w:noProof/>
          </w:rPr>
          <w:t>Reasons for seeking legal advice</w:t>
        </w:r>
        <w:r>
          <w:rPr>
            <w:noProof/>
            <w:webHidden/>
          </w:rPr>
          <w:tab/>
        </w:r>
        <w:r>
          <w:rPr>
            <w:noProof/>
            <w:webHidden/>
          </w:rPr>
          <w:fldChar w:fldCharType="begin"/>
        </w:r>
        <w:r>
          <w:rPr>
            <w:noProof/>
            <w:webHidden/>
          </w:rPr>
          <w:instrText xml:space="preserve"> PAGEREF _Toc108354391 \h </w:instrText>
        </w:r>
        <w:r>
          <w:rPr>
            <w:noProof/>
            <w:webHidden/>
          </w:rPr>
        </w:r>
        <w:r>
          <w:rPr>
            <w:noProof/>
            <w:webHidden/>
          </w:rPr>
          <w:fldChar w:fldCharType="separate"/>
        </w:r>
        <w:r>
          <w:rPr>
            <w:noProof/>
            <w:webHidden/>
          </w:rPr>
          <w:t>5</w:t>
        </w:r>
        <w:r>
          <w:rPr>
            <w:noProof/>
            <w:webHidden/>
          </w:rPr>
          <w:fldChar w:fldCharType="end"/>
        </w:r>
      </w:hyperlink>
    </w:p>
    <w:p w14:paraId="7A907CBF" w14:textId="5351496F" w:rsidR="007B5378" w:rsidRDefault="007B5378">
      <w:pPr>
        <w:pStyle w:val="TOC2"/>
        <w:tabs>
          <w:tab w:val="right" w:leader="underscore" w:pos="9016"/>
        </w:tabs>
        <w:rPr>
          <w:rFonts w:eastAsiaTheme="minorEastAsia"/>
          <w:noProof/>
          <w:color w:val="auto"/>
          <w:sz w:val="22"/>
          <w:szCs w:val="22"/>
          <w:lang w:eastAsia="en-GB"/>
        </w:rPr>
      </w:pPr>
      <w:hyperlink w:anchor="_Toc108354392" w:history="1">
        <w:r w:rsidRPr="00CD7CC5">
          <w:rPr>
            <w:rStyle w:val="Hyperlink"/>
            <w:noProof/>
          </w:rPr>
          <w:t>5.3.</w:t>
        </w:r>
        <w:r>
          <w:rPr>
            <w:rFonts w:eastAsiaTheme="minorEastAsia"/>
            <w:noProof/>
            <w:color w:val="auto"/>
            <w:sz w:val="22"/>
            <w:szCs w:val="22"/>
            <w:lang w:eastAsia="en-GB"/>
          </w:rPr>
          <w:tab/>
        </w:r>
        <w:r w:rsidRPr="00CD7CC5">
          <w:rPr>
            <w:rStyle w:val="Hyperlink"/>
            <w:noProof/>
          </w:rPr>
          <w:t>Contacting legal firms</w:t>
        </w:r>
        <w:r>
          <w:rPr>
            <w:noProof/>
            <w:webHidden/>
          </w:rPr>
          <w:tab/>
        </w:r>
        <w:r>
          <w:rPr>
            <w:noProof/>
            <w:webHidden/>
          </w:rPr>
          <w:fldChar w:fldCharType="begin"/>
        </w:r>
        <w:r>
          <w:rPr>
            <w:noProof/>
            <w:webHidden/>
          </w:rPr>
          <w:instrText xml:space="preserve"> PAGEREF _Toc108354392 \h </w:instrText>
        </w:r>
        <w:r>
          <w:rPr>
            <w:noProof/>
            <w:webHidden/>
          </w:rPr>
        </w:r>
        <w:r>
          <w:rPr>
            <w:noProof/>
            <w:webHidden/>
          </w:rPr>
          <w:fldChar w:fldCharType="separate"/>
        </w:r>
        <w:r>
          <w:rPr>
            <w:noProof/>
            <w:webHidden/>
          </w:rPr>
          <w:t>5</w:t>
        </w:r>
        <w:r>
          <w:rPr>
            <w:noProof/>
            <w:webHidden/>
          </w:rPr>
          <w:fldChar w:fldCharType="end"/>
        </w:r>
      </w:hyperlink>
    </w:p>
    <w:p w14:paraId="140EA90B" w14:textId="3ADC9A35" w:rsidR="007B5378" w:rsidRDefault="007B5378">
      <w:pPr>
        <w:pStyle w:val="TOC1"/>
        <w:rPr>
          <w:rFonts w:eastAsiaTheme="minorEastAsia"/>
          <w:b w:val="0"/>
          <w:noProof/>
          <w:color w:val="auto"/>
          <w:sz w:val="22"/>
          <w:szCs w:val="22"/>
          <w:lang w:eastAsia="en-GB"/>
        </w:rPr>
      </w:pPr>
      <w:hyperlink w:anchor="_Toc108354393" w:history="1">
        <w:r w:rsidRPr="00CD7CC5">
          <w:rPr>
            <w:rStyle w:val="Hyperlink"/>
            <w:noProof/>
          </w:rPr>
          <w:t>6.</w:t>
        </w:r>
        <w:r>
          <w:rPr>
            <w:rFonts w:eastAsiaTheme="minorEastAsia"/>
            <w:b w:val="0"/>
            <w:noProof/>
            <w:color w:val="auto"/>
            <w:sz w:val="22"/>
            <w:szCs w:val="22"/>
            <w:lang w:eastAsia="en-GB"/>
          </w:rPr>
          <w:tab/>
        </w:r>
        <w:r w:rsidRPr="00CD7CC5">
          <w:rPr>
            <w:rStyle w:val="Hyperlink"/>
            <w:noProof/>
          </w:rPr>
          <w:t>Reporting of Legal Cases</w:t>
        </w:r>
        <w:r>
          <w:rPr>
            <w:noProof/>
            <w:webHidden/>
          </w:rPr>
          <w:tab/>
        </w:r>
        <w:r>
          <w:rPr>
            <w:noProof/>
            <w:webHidden/>
          </w:rPr>
          <w:fldChar w:fldCharType="begin"/>
        </w:r>
        <w:r>
          <w:rPr>
            <w:noProof/>
            <w:webHidden/>
          </w:rPr>
          <w:instrText xml:space="preserve"> PAGEREF _Toc108354393 \h </w:instrText>
        </w:r>
        <w:r>
          <w:rPr>
            <w:noProof/>
            <w:webHidden/>
          </w:rPr>
        </w:r>
        <w:r>
          <w:rPr>
            <w:noProof/>
            <w:webHidden/>
          </w:rPr>
          <w:fldChar w:fldCharType="separate"/>
        </w:r>
        <w:r>
          <w:rPr>
            <w:noProof/>
            <w:webHidden/>
          </w:rPr>
          <w:t>6</w:t>
        </w:r>
        <w:r>
          <w:rPr>
            <w:noProof/>
            <w:webHidden/>
          </w:rPr>
          <w:fldChar w:fldCharType="end"/>
        </w:r>
      </w:hyperlink>
    </w:p>
    <w:p w14:paraId="1177D601" w14:textId="5D8341DB" w:rsidR="007B5378" w:rsidRDefault="007B5378">
      <w:pPr>
        <w:pStyle w:val="TOC1"/>
        <w:rPr>
          <w:rFonts w:eastAsiaTheme="minorEastAsia"/>
          <w:b w:val="0"/>
          <w:noProof/>
          <w:color w:val="auto"/>
          <w:sz w:val="22"/>
          <w:szCs w:val="22"/>
          <w:lang w:eastAsia="en-GB"/>
        </w:rPr>
      </w:pPr>
      <w:hyperlink w:anchor="_Toc108354394" w:history="1">
        <w:r w:rsidRPr="00CD7CC5">
          <w:rPr>
            <w:rStyle w:val="Hyperlink"/>
            <w:noProof/>
          </w:rPr>
          <w:t>7.</w:t>
        </w:r>
        <w:r>
          <w:rPr>
            <w:rFonts w:eastAsiaTheme="minorEastAsia"/>
            <w:b w:val="0"/>
            <w:noProof/>
            <w:color w:val="auto"/>
            <w:sz w:val="22"/>
            <w:szCs w:val="22"/>
            <w:lang w:eastAsia="en-GB"/>
          </w:rPr>
          <w:tab/>
        </w:r>
        <w:r w:rsidRPr="00CD7CC5">
          <w:rPr>
            <w:rStyle w:val="Hyperlink"/>
            <w:noProof/>
          </w:rPr>
          <w:t>Monitoring Compliance</w:t>
        </w:r>
        <w:r>
          <w:rPr>
            <w:noProof/>
            <w:webHidden/>
          </w:rPr>
          <w:tab/>
        </w:r>
        <w:r>
          <w:rPr>
            <w:noProof/>
            <w:webHidden/>
          </w:rPr>
          <w:fldChar w:fldCharType="begin"/>
        </w:r>
        <w:r>
          <w:rPr>
            <w:noProof/>
            <w:webHidden/>
          </w:rPr>
          <w:instrText xml:space="preserve"> PAGEREF _Toc108354394 \h </w:instrText>
        </w:r>
        <w:r>
          <w:rPr>
            <w:noProof/>
            <w:webHidden/>
          </w:rPr>
        </w:r>
        <w:r>
          <w:rPr>
            <w:noProof/>
            <w:webHidden/>
          </w:rPr>
          <w:fldChar w:fldCharType="separate"/>
        </w:r>
        <w:r>
          <w:rPr>
            <w:noProof/>
            <w:webHidden/>
          </w:rPr>
          <w:t>6</w:t>
        </w:r>
        <w:r>
          <w:rPr>
            <w:noProof/>
            <w:webHidden/>
          </w:rPr>
          <w:fldChar w:fldCharType="end"/>
        </w:r>
      </w:hyperlink>
    </w:p>
    <w:p w14:paraId="3D599105" w14:textId="61CF068A" w:rsidR="007B5378" w:rsidRDefault="007B5378">
      <w:pPr>
        <w:pStyle w:val="TOC1"/>
        <w:rPr>
          <w:rFonts w:eastAsiaTheme="minorEastAsia"/>
          <w:b w:val="0"/>
          <w:noProof/>
          <w:color w:val="auto"/>
          <w:sz w:val="22"/>
          <w:szCs w:val="22"/>
          <w:lang w:eastAsia="en-GB"/>
        </w:rPr>
      </w:pPr>
      <w:hyperlink w:anchor="_Toc108354395" w:history="1">
        <w:r w:rsidRPr="00CD7CC5">
          <w:rPr>
            <w:rStyle w:val="Hyperlink"/>
            <w:noProof/>
          </w:rPr>
          <w:t>8.</w:t>
        </w:r>
        <w:r>
          <w:rPr>
            <w:rFonts w:eastAsiaTheme="minorEastAsia"/>
            <w:b w:val="0"/>
            <w:noProof/>
            <w:color w:val="auto"/>
            <w:sz w:val="22"/>
            <w:szCs w:val="22"/>
            <w:lang w:eastAsia="en-GB"/>
          </w:rPr>
          <w:tab/>
        </w:r>
        <w:r w:rsidRPr="00CD7CC5">
          <w:rPr>
            <w:rStyle w:val="Hyperlink"/>
            <w:noProof/>
          </w:rPr>
          <w:t>Staff Training</w:t>
        </w:r>
        <w:r>
          <w:rPr>
            <w:noProof/>
            <w:webHidden/>
          </w:rPr>
          <w:tab/>
        </w:r>
        <w:r>
          <w:rPr>
            <w:noProof/>
            <w:webHidden/>
          </w:rPr>
          <w:fldChar w:fldCharType="begin"/>
        </w:r>
        <w:r>
          <w:rPr>
            <w:noProof/>
            <w:webHidden/>
          </w:rPr>
          <w:instrText xml:space="preserve"> PAGEREF _Toc108354395 \h </w:instrText>
        </w:r>
        <w:r>
          <w:rPr>
            <w:noProof/>
            <w:webHidden/>
          </w:rPr>
        </w:r>
        <w:r>
          <w:rPr>
            <w:noProof/>
            <w:webHidden/>
          </w:rPr>
          <w:fldChar w:fldCharType="separate"/>
        </w:r>
        <w:r>
          <w:rPr>
            <w:noProof/>
            <w:webHidden/>
          </w:rPr>
          <w:t>6</w:t>
        </w:r>
        <w:r>
          <w:rPr>
            <w:noProof/>
            <w:webHidden/>
          </w:rPr>
          <w:fldChar w:fldCharType="end"/>
        </w:r>
      </w:hyperlink>
    </w:p>
    <w:p w14:paraId="301D508C" w14:textId="506BC0C9" w:rsidR="007B5378" w:rsidRDefault="007B5378">
      <w:pPr>
        <w:pStyle w:val="TOC1"/>
        <w:rPr>
          <w:rFonts w:eastAsiaTheme="minorEastAsia"/>
          <w:b w:val="0"/>
          <w:noProof/>
          <w:color w:val="auto"/>
          <w:sz w:val="22"/>
          <w:szCs w:val="22"/>
          <w:lang w:eastAsia="en-GB"/>
        </w:rPr>
      </w:pPr>
      <w:hyperlink w:anchor="_Toc108354396" w:history="1">
        <w:r w:rsidRPr="00CD7CC5">
          <w:rPr>
            <w:rStyle w:val="Hyperlink"/>
            <w:noProof/>
          </w:rPr>
          <w:t>9.</w:t>
        </w:r>
        <w:r>
          <w:rPr>
            <w:rFonts w:eastAsiaTheme="minorEastAsia"/>
            <w:b w:val="0"/>
            <w:noProof/>
            <w:color w:val="auto"/>
            <w:sz w:val="22"/>
            <w:szCs w:val="22"/>
            <w:lang w:eastAsia="en-GB"/>
          </w:rPr>
          <w:tab/>
        </w:r>
        <w:r w:rsidRPr="00CD7CC5">
          <w:rPr>
            <w:rStyle w:val="Hyperlink"/>
            <w:noProof/>
          </w:rPr>
          <w:t>Arrangements For Review</w:t>
        </w:r>
        <w:r>
          <w:rPr>
            <w:noProof/>
            <w:webHidden/>
          </w:rPr>
          <w:tab/>
        </w:r>
        <w:r>
          <w:rPr>
            <w:noProof/>
            <w:webHidden/>
          </w:rPr>
          <w:fldChar w:fldCharType="begin"/>
        </w:r>
        <w:r>
          <w:rPr>
            <w:noProof/>
            <w:webHidden/>
          </w:rPr>
          <w:instrText xml:space="preserve"> PAGEREF _Toc108354396 \h </w:instrText>
        </w:r>
        <w:r>
          <w:rPr>
            <w:noProof/>
            <w:webHidden/>
          </w:rPr>
        </w:r>
        <w:r>
          <w:rPr>
            <w:noProof/>
            <w:webHidden/>
          </w:rPr>
          <w:fldChar w:fldCharType="separate"/>
        </w:r>
        <w:r>
          <w:rPr>
            <w:noProof/>
            <w:webHidden/>
          </w:rPr>
          <w:t>6</w:t>
        </w:r>
        <w:r>
          <w:rPr>
            <w:noProof/>
            <w:webHidden/>
          </w:rPr>
          <w:fldChar w:fldCharType="end"/>
        </w:r>
      </w:hyperlink>
    </w:p>
    <w:p w14:paraId="6FA7DBA1" w14:textId="37B68D74" w:rsidR="007B5378" w:rsidRDefault="007B5378">
      <w:pPr>
        <w:pStyle w:val="TOC1"/>
        <w:rPr>
          <w:rFonts w:eastAsiaTheme="minorEastAsia"/>
          <w:b w:val="0"/>
          <w:noProof/>
          <w:color w:val="auto"/>
          <w:sz w:val="22"/>
          <w:szCs w:val="22"/>
          <w:lang w:eastAsia="en-GB"/>
        </w:rPr>
      </w:pPr>
      <w:hyperlink w:anchor="_Toc108354397" w:history="1">
        <w:r w:rsidRPr="00CD7CC5">
          <w:rPr>
            <w:rStyle w:val="Hyperlink"/>
            <w:noProof/>
          </w:rPr>
          <w:t>10.</w:t>
        </w:r>
        <w:r>
          <w:rPr>
            <w:rFonts w:eastAsiaTheme="minorEastAsia"/>
            <w:b w:val="0"/>
            <w:noProof/>
            <w:color w:val="auto"/>
            <w:sz w:val="22"/>
            <w:szCs w:val="22"/>
            <w:lang w:eastAsia="en-GB"/>
          </w:rPr>
          <w:tab/>
        </w:r>
        <w:r w:rsidRPr="00CD7CC5">
          <w:rPr>
            <w:rStyle w:val="Hyperlink"/>
            <w:noProof/>
          </w:rPr>
          <w:t>Associated Policies, Guidance and Documents</w:t>
        </w:r>
        <w:r>
          <w:rPr>
            <w:noProof/>
            <w:webHidden/>
          </w:rPr>
          <w:tab/>
        </w:r>
        <w:r>
          <w:rPr>
            <w:noProof/>
            <w:webHidden/>
          </w:rPr>
          <w:fldChar w:fldCharType="begin"/>
        </w:r>
        <w:r>
          <w:rPr>
            <w:noProof/>
            <w:webHidden/>
          </w:rPr>
          <w:instrText xml:space="preserve"> PAGEREF _Toc108354397 \h </w:instrText>
        </w:r>
        <w:r>
          <w:rPr>
            <w:noProof/>
            <w:webHidden/>
          </w:rPr>
        </w:r>
        <w:r>
          <w:rPr>
            <w:noProof/>
            <w:webHidden/>
          </w:rPr>
          <w:fldChar w:fldCharType="separate"/>
        </w:r>
        <w:r>
          <w:rPr>
            <w:noProof/>
            <w:webHidden/>
          </w:rPr>
          <w:t>6</w:t>
        </w:r>
        <w:r>
          <w:rPr>
            <w:noProof/>
            <w:webHidden/>
          </w:rPr>
          <w:fldChar w:fldCharType="end"/>
        </w:r>
      </w:hyperlink>
    </w:p>
    <w:p w14:paraId="15A1A85A" w14:textId="1D6D7695" w:rsidR="007B5378" w:rsidRDefault="007B5378">
      <w:pPr>
        <w:pStyle w:val="TOC1"/>
        <w:rPr>
          <w:rFonts w:eastAsiaTheme="minorEastAsia"/>
          <w:b w:val="0"/>
          <w:noProof/>
          <w:color w:val="auto"/>
          <w:sz w:val="22"/>
          <w:szCs w:val="22"/>
          <w:lang w:eastAsia="en-GB"/>
        </w:rPr>
      </w:pPr>
      <w:hyperlink w:anchor="_Toc108354398" w:history="1">
        <w:r w:rsidRPr="00CD7CC5">
          <w:rPr>
            <w:rStyle w:val="Hyperlink"/>
            <w:noProof/>
          </w:rPr>
          <w:t>11.</w:t>
        </w:r>
        <w:r>
          <w:rPr>
            <w:rFonts w:eastAsiaTheme="minorEastAsia"/>
            <w:b w:val="0"/>
            <w:noProof/>
            <w:color w:val="auto"/>
            <w:sz w:val="22"/>
            <w:szCs w:val="22"/>
            <w:lang w:eastAsia="en-GB"/>
          </w:rPr>
          <w:tab/>
        </w:r>
        <w:r w:rsidRPr="00CD7CC5">
          <w:rPr>
            <w:rStyle w:val="Hyperlink"/>
            <w:noProof/>
          </w:rPr>
          <w:t>References</w:t>
        </w:r>
        <w:r>
          <w:rPr>
            <w:noProof/>
            <w:webHidden/>
          </w:rPr>
          <w:tab/>
        </w:r>
        <w:r>
          <w:rPr>
            <w:noProof/>
            <w:webHidden/>
          </w:rPr>
          <w:fldChar w:fldCharType="begin"/>
        </w:r>
        <w:r>
          <w:rPr>
            <w:noProof/>
            <w:webHidden/>
          </w:rPr>
          <w:instrText xml:space="preserve"> PAGEREF _Toc108354398 \h </w:instrText>
        </w:r>
        <w:r>
          <w:rPr>
            <w:noProof/>
            <w:webHidden/>
          </w:rPr>
        </w:r>
        <w:r>
          <w:rPr>
            <w:noProof/>
            <w:webHidden/>
          </w:rPr>
          <w:fldChar w:fldCharType="separate"/>
        </w:r>
        <w:r>
          <w:rPr>
            <w:noProof/>
            <w:webHidden/>
          </w:rPr>
          <w:t>7</w:t>
        </w:r>
        <w:r>
          <w:rPr>
            <w:noProof/>
            <w:webHidden/>
          </w:rPr>
          <w:fldChar w:fldCharType="end"/>
        </w:r>
      </w:hyperlink>
    </w:p>
    <w:p w14:paraId="75C437B8" w14:textId="3562A996" w:rsidR="007B5378" w:rsidRDefault="007B5378">
      <w:pPr>
        <w:pStyle w:val="TOC1"/>
        <w:rPr>
          <w:rFonts w:eastAsiaTheme="minorEastAsia"/>
          <w:b w:val="0"/>
          <w:noProof/>
          <w:color w:val="auto"/>
          <w:sz w:val="22"/>
          <w:szCs w:val="22"/>
          <w:lang w:eastAsia="en-GB"/>
        </w:rPr>
      </w:pPr>
      <w:hyperlink w:anchor="_Toc108354399" w:history="1">
        <w:r w:rsidRPr="00CD7CC5">
          <w:rPr>
            <w:rStyle w:val="Hyperlink"/>
            <w:noProof/>
          </w:rPr>
          <w:t>12.</w:t>
        </w:r>
        <w:r>
          <w:rPr>
            <w:rFonts w:eastAsiaTheme="minorEastAsia"/>
            <w:b w:val="0"/>
            <w:noProof/>
            <w:color w:val="auto"/>
            <w:sz w:val="22"/>
            <w:szCs w:val="22"/>
            <w:lang w:eastAsia="en-GB"/>
          </w:rPr>
          <w:tab/>
        </w:r>
        <w:r w:rsidRPr="00CD7CC5">
          <w:rPr>
            <w:rStyle w:val="Hyperlink"/>
            <w:noProof/>
          </w:rPr>
          <w:t>Equality Impact Assessment</w:t>
        </w:r>
        <w:r>
          <w:rPr>
            <w:noProof/>
            <w:webHidden/>
          </w:rPr>
          <w:tab/>
        </w:r>
        <w:r>
          <w:rPr>
            <w:noProof/>
            <w:webHidden/>
          </w:rPr>
          <w:fldChar w:fldCharType="begin"/>
        </w:r>
        <w:r>
          <w:rPr>
            <w:noProof/>
            <w:webHidden/>
          </w:rPr>
          <w:instrText xml:space="preserve"> PAGEREF _Toc108354399 \h </w:instrText>
        </w:r>
        <w:r>
          <w:rPr>
            <w:noProof/>
            <w:webHidden/>
          </w:rPr>
        </w:r>
        <w:r>
          <w:rPr>
            <w:noProof/>
            <w:webHidden/>
          </w:rPr>
          <w:fldChar w:fldCharType="separate"/>
        </w:r>
        <w:r>
          <w:rPr>
            <w:noProof/>
            <w:webHidden/>
          </w:rPr>
          <w:t>7</w:t>
        </w:r>
        <w:r>
          <w:rPr>
            <w:noProof/>
            <w:webHidden/>
          </w:rPr>
          <w:fldChar w:fldCharType="end"/>
        </w:r>
      </w:hyperlink>
    </w:p>
    <w:p w14:paraId="039A8270" w14:textId="63E803B4" w:rsidR="007B5378" w:rsidRDefault="007B5378">
      <w:pPr>
        <w:pStyle w:val="TOC1"/>
        <w:rPr>
          <w:rFonts w:eastAsiaTheme="minorEastAsia"/>
          <w:b w:val="0"/>
          <w:noProof/>
          <w:color w:val="auto"/>
          <w:sz w:val="22"/>
          <w:szCs w:val="22"/>
          <w:lang w:eastAsia="en-GB"/>
        </w:rPr>
      </w:pPr>
      <w:hyperlink w:anchor="_Toc108354400" w:history="1">
        <w:r w:rsidRPr="00CD7CC5">
          <w:rPr>
            <w:rStyle w:val="Hyperlink"/>
            <w:noProof/>
          </w:rPr>
          <w:t>Appendix A - Equality Impact Assessment</w:t>
        </w:r>
        <w:r>
          <w:rPr>
            <w:noProof/>
            <w:webHidden/>
          </w:rPr>
          <w:tab/>
        </w:r>
        <w:r>
          <w:rPr>
            <w:noProof/>
            <w:webHidden/>
          </w:rPr>
          <w:fldChar w:fldCharType="begin"/>
        </w:r>
        <w:r>
          <w:rPr>
            <w:noProof/>
            <w:webHidden/>
          </w:rPr>
          <w:instrText xml:space="preserve"> PAGEREF _Toc108354400 \h </w:instrText>
        </w:r>
        <w:r>
          <w:rPr>
            <w:noProof/>
            <w:webHidden/>
          </w:rPr>
        </w:r>
        <w:r>
          <w:rPr>
            <w:noProof/>
            <w:webHidden/>
          </w:rPr>
          <w:fldChar w:fldCharType="separate"/>
        </w:r>
        <w:r>
          <w:rPr>
            <w:noProof/>
            <w:webHidden/>
          </w:rPr>
          <w:t>8</w:t>
        </w:r>
        <w:r>
          <w:rPr>
            <w:noProof/>
            <w:webHidden/>
          </w:rPr>
          <w:fldChar w:fldCharType="end"/>
        </w:r>
      </w:hyperlink>
    </w:p>
    <w:p w14:paraId="598AA813" w14:textId="2C90AFE1" w:rsidR="007B5378" w:rsidRDefault="007B5378">
      <w:pPr>
        <w:pStyle w:val="TOC1"/>
        <w:rPr>
          <w:rFonts w:eastAsiaTheme="minorEastAsia"/>
          <w:b w:val="0"/>
          <w:noProof/>
          <w:color w:val="auto"/>
          <w:sz w:val="22"/>
          <w:szCs w:val="22"/>
          <w:lang w:eastAsia="en-GB"/>
        </w:rPr>
      </w:pPr>
      <w:hyperlink w:anchor="_Toc108354401" w:history="1">
        <w:r w:rsidRPr="00CD7CC5">
          <w:rPr>
            <w:rStyle w:val="Hyperlink"/>
            <w:noProof/>
          </w:rPr>
          <w:t>Appendix B – Flowchart for Accessing Legal Advice</w:t>
        </w:r>
        <w:r>
          <w:rPr>
            <w:noProof/>
            <w:webHidden/>
          </w:rPr>
          <w:tab/>
        </w:r>
        <w:r>
          <w:rPr>
            <w:noProof/>
            <w:webHidden/>
          </w:rPr>
          <w:fldChar w:fldCharType="begin"/>
        </w:r>
        <w:r>
          <w:rPr>
            <w:noProof/>
            <w:webHidden/>
          </w:rPr>
          <w:instrText xml:space="preserve"> PAGEREF _Toc108354401 \h </w:instrText>
        </w:r>
        <w:r>
          <w:rPr>
            <w:noProof/>
            <w:webHidden/>
          </w:rPr>
        </w:r>
        <w:r>
          <w:rPr>
            <w:noProof/>
            <w:webHidden/>
          </w:rPr>
          <w:fldChar w:fldCharType="separate"/>
        </w:r>
        <w:r>
          <w:rPr>
            <w:noProof/>
            <w:webHidden/>
          </w:rPr>
          <w:t>10</w:t>
        </w:r>
        <w:r>
          <w:rPr>
            <w:noProof/>
            <w:webHidden/>
          </w:rPr>
          <w:fldChar w:fldCharType="end"/>
        </w:r>
      </w:hyperlink>
    </w:p>
    <w:p w14:paraId="375ED33E" w14:textId="37DA4D2C" w:rsidR="007B5378" w:rsidRDefault="007B5378">
      <w:pPr>
        <w:pStyle w:val="TOC1"/>
        <w:rPr>
          <w:rFonts w:eastAsiaTheme="minorEastAsia"/>
          <w:b w:val="0"/>
          <w:noProof/>
          <w:color w:val="auto"/>
          <w:sz w:val="22"/>
          <w:szCs w:val="22"/>
          <w:lang w:eastAsia="en-GB"/>
        </w:rPr>
      </w:pPr>
      <w:hyperlink w:anchor="_Toc108354402" w:history="1">
        <w:r w:rsidRPr="00CD7CC5">
          <w:rPr>
            <w:rStyle w:val="Hyperlink"/>
            <w:noProof/>
          </w:rPr>
          <w:t>Appendix C – Sources of Advice</w:t>
        </w:r>
        <w:r>
          <w:rPr>
            <w:noProof/>
            <w:webHidden/>
          </w:rPr>
          <w:tab/>
        </w:r>
        <w:r>
          <w:rPr>
            <w:noProof/>
            <w:webHidden/>
          </w:rPr>
          <w:fldChar w:fldCharType="begin"/>
        </w:r>
        <w:r>
          <w:rPr>
            <w:noProof/>
            <w:webHidden/>
          </w:rPr>
          <w:instrText xml:space="preserve"> PAGEREF _Toc108354402 \h </w:instrText>
        </w:r>
        <w:r>
          <w:rPr>
            <w:noProof/>
            <w:webHidden/>
          </w:rPr>
        </w:r>
        <w:r>
          <w:rPr>
            <w:noProof/>
            <w:webHidden/>
          </w:rPr>
          <w:fldChar w:fldCharType="separate"/>
        </w:r>
        <w:r>
          <w:rPr>
            <w:noProof/>
            <w:webHidden/>
          </w:rPr>
          <w:t>11</w:t>
        </w:r>
        <w:r>
          <w:rPr>
            <w:noProof/>
            <w:webHidden/>
          </w:rPr>
          <w:fldChar w:fldCharType="end"/>
        </w:r>
      </w:hyperlink>
    </w:p>
    <w:p w14:paraId="79AC109D" w14:textId="4BDAD268" w:rsidR="00F913CD" w:rsidRPr="00C12F34" w:rsidRDefault="000665B0">
      <w:pPr>
        <w:spacing w:before="0" w:after="0"/>
        <w:ind w:left="0"/>
        <w:rPr>
          <w:rFonts w:ascii="Arial" w:hAnsi="Arial" w:cs="Arial"/>
          <w:sz w:val="26"/>
          <w:szCs w:val="26"/>
        </w:rPr>
      </w:pPr>
      <w:r>
        <w:rPr>
          <w:rFonts w:ascii="AppleSystemUIFont" w:hAnsi="AppleSystemUIFont" w:cs="AppleSystemUIFont"/>
          <w:b/>
          <w:sz w:val="26"/>
          <w:szCs w:val="26"/>
        </w:rPr>
        <w:fldChar w:fldCharType="end"/>
      </w:r>
      <w:r w:rsidR="00F913CD" w:rsidRPr="00C12F34">
        <w:rPr>
          <w:rFonts w:ascii="Arial" w:hAnsi="Arial" w:cs="Arial"/>
          <w:sz w:val="26"/>
          <w:szCs w:val="26"/>
        </w:rPr>
        <w:br w:type="page"/>
      </w:r>
    </w:p>
    <w:p w14:paraId="59065CEE" w14:textId="77777777" w:rsidR="00F913CD" w:rsidRPr="0015255F" w:rsidRDefault="00F913CD" w:rsidP="007B5378">
      <w:pPr>
        <w:pStyle w:val="Heading2"/>
      </w:pPr>
      <w:bookmarkStart w:id="2" w:name="_Toc84611043"/>
      <w:bookmarkStart w:id="3" w:name="_Toc89326544"/>
      <w:bookmarkStart w:id="4" w:name="_Toc108354378"/>
      <w:r w:rsidRPr="0015255F">
        <w:lastRenderedPageBreak/>
        <w:t>Introduction</w:t>
      </w:r>
      <w:bookmarkEnd w:id="2"/>
      <w:bookmarkEnd w:id="3"/>
      <w:bookmarkEnd w:id="4"/>
    </w:p>
    <w:p w14:paraId="45AA709B" w14:textId="77777777" w:rsidR="00592017" w:rsidRDefault="00727476" w:rsidP="00592017">
      <w:pPr>
        <w:pStyle w:val="Style1"/>
      </w:pPr>
      <w:r w:rsidRPr="00727476">
        <w:t xml:space="preserve">As a public body, </w:t>
      </w:r>
      <w:r>
        <w:t xml:space="preserve">the Mid and South Essex Integrated Care Board (the ICB) </w:t>
      </w:r>
      <w:r w:rsidR="001D10D8">
        <w:t xml:space="preserve">from time to time </w:t>
      </w:r>
      <w:r w:rsidR="00AC12CF" w:rsidRPr="00AC12CF">
        <w:t xml:space="preserve">may require a professional or formal opinion regarding the substance or procedure of the law in relation to a particular factual situation. </w:t>
      </w:r>
    </w:p>
    <w:p w14:paraId="072E9D82" w14:textId="25160262" w:rsidR="00727476" w:rsidRPr="00592017" w:rsidRDefault="00592017" w:rsidP="00592017">
      <w:pPr>
        <w:pStyle w:val="Style1"/>
      </w:pPr>
      <w:r w:rsidRPr="00592017">
        <w:t xml:space="preserve">This policy explains the circumstances when legal advice may be required and the process for obtaining such advice, both from within the </w:t>
      </w:r>
      <w:r>
        <w:t xml:space="preserve">ICB </w:t>
      </w:r>
      <w:r w:rsidRPr="00592017">
        <w:t>and</w:t>
      </w:r>
      <w:r w:rsidR="00FC3027">
        <w:t>,</w:t>
      </w:r>
      <w:r w:rsidRPr="00592017">
        <w:t xml:space="preserve"> if appropriate, from a law firm </w:t>
      </w:r>
      <w:r w:rsidR="00FC3027">
        <w:t xml:space="preserve">or </w:t>
      </w:r>
      <w:r w:rsidRPr="00592017">
        <w:t>other external legal advisors.</w:t>
      </w:r>
    </w:p>
    <w:p w14:paraId="6EA46454" w14:textId="624804FC" w:rsidR="00F913CD" w:rsidRPr="0015255F" w:rsidRDefault="00F913CD" w:rsidP="007B5378">
      <w:pPr>
        <w:pStyle w:val="Heading2"/>
      </w:pPr>
      <w:bookmarkStart w:id="5" w:name="_Toc89326545"/>
      <w:bookmarkStart w:id="6" w:name="_Toc108354379"/>
      <w:r w:rsidRPr="0015255F">
        <w:t>Purpose</w:t>
      </w:r>
      <w:bookmarkEnd w:id="5"/>
      <w:bookmarkEnd w:id="6"/>
    </w:p>
    <w:p w14:paraId="1028B2B2" w14:textId="62FB1E5E" w:rsidR="00BD052E" w:rsidRDefault="00B63132" w:rsidP="00BE2C89">
      <w:pPr>
        <w:pStyle w:val="Style1"/>
      </w:pPr>
      <w:r>
        <w:t>The purpose of this policy is to set out the framework for the provision of legal support and advice to the ICB  in order to ensure that:</w:t>
      </w:r>
    </w:p>
    <w:p w14:paraId="654DB3FF" w14:textId="644D46DE" w:rsidR="00B63132" w:rsidRDefault="00B63132" w:rsidP="00B63132">
      <w:pPr>
        <w:pStyle w:val="ListParagraph"/>
      </w:pPr>
      <w:r>
        <w:t>Staff are aware of the process that must be followed when they need legal support and advice.</w:t>
      </w:r>
    </w:p>
    <w:p w14:paraId="422809B8" w14:textId="3B3153C1" w:rsidR="00B63132" w:rsidRDefault="00B63132" w:rsidP="00B63132">
      <w:pPr>
        <w:pStyle w:val="ListParagraph"/>
      </w:pPr>
      <w:r>
        <w:t>The ICB receives high quality advice at a reasonable cost.</w:t>
      </w:r>
    </w:p>
    <w:p w14:paraId="6E66D460" w14:textId="01D2FE74" w:rsidR="00B63132" w:rsidRDefault="00B63132" w:rsidP="00B63132">
      <w:pPr>
        <w:pStyle w:val="ListParagraph"/>
      </w:pPr>
      <w:r>
        <w:t>Expenditure is kept within budgetary restraints.</w:t>
      </w:r>
    </w:p>
    <w:p w14:paraId="167858FF" w14:textId="4194AE5E" w:rsidR="00B63132" w:rsidRDefault="00B63132" w:rsidP="00B63132">
      <w:pPr>
        <w:pStyle w:val="ListParagraph"/>
      </w:pPr>
      <w:r>
        <w:t>Advice received is held centrally to avoid unnecessary duplication and ensure access and benefit to the ICG as a whole.</w:t>
      </w:r>
    </w:p>
    <w:p w14:paraId="7FF21EA4" w14:textId="393ED5D6" w:rsidR="00B63132" w:rsidRDefault="00B63132" w:rsidP="00B63132">
      <w:pPr>
        <w:pStyle w:val="ListParagraph"/>
      </w:pPr>
      <w:r>
        <w:t>Requests are appropriate and the advice is not already available from another source.</w:t>
      </w:r>
    </w:p>
    <w:p w14:paraId="4C1D5065" w14:textId="6A499D7B" w:rsidR="00B63132" w:rsidRDefault="00B63132" w:rsidP="00B63132">
      <w:pPr>
        <w:pStyle w:val="ListParagraph"/>
      </w:pPr>
      <w:r>
        <w:t>There is an opportunity to review the performance and quality of legal advice provided by legal firms engaged by the ICB.</w:t>
      </w:r>
    </w:p>
    <w:p w14:paraId="33D9D5BD" w14:textId="252B70D8" w:rsidR="00F913CD" w:rsidRDefault="00F913CD" w:rsidP="007B5378">
      <w:pPr>
        <w:pStyle w:val="Heading2"/>
      </w:pPr>
      <w:bookmarkStart w:id="7" w:name="_Toc89326546"/>
      <w:bookmarkStart w:id="8" w:name="_Toc108354380"/>
      <w:r w:rsidRPr="0015255F">
        <w:t>Definitions</w:t>
      </w:r>
      <w:bookmarkEnd w:id="7"/>
      <w:bookmarkEnd w:id="8"/>
    </w:p>
    <w:p w14:paraId="0E94DD4C" w14:textId="2C23377D" w:rsidR="00B63132" w:rsidRPr="00B63132" w:rsidRDefault="00B63132" w:rsidP="00B63132">
      <w:pPr>
        <w:pStyle w:val="ListParagraph"/>
        <w:numPr>
          <w:ilvl w:val="0"/>
          <w:numId w:val="26"/>
        </w:numPr>
        <w:ind w:left="1560"/>
      </w:pPr>
      <w:r w:rsidRPr="00B63132">
        <w:rPr>
          <w:b/>
          <w:bCs/>
        </w:rPr>
        <w:t>Legal advice</w:t>
      </w:r>
      <w:r>
        <w:rPr>
          <w:b/>
          <w:bCs/>
        </w:rPr>
        <w:t xml:space="preserve"> – </w:t>
      </w:r>
      <w:r w:rsidRPr="00B63132">
        <w:t>professional advice obtained from a</w:t>
      </w:r>
      <w:r w:rsidR="00170459">
        <w:t>n independent lawyer or</w:t>
      </w:r>
      <w:r w:rsidRPr="00B63132">
        <w:t xml:space="preserve"> </w:t>
      </w:r>
      <w:r>
        <w:t xml:space="preserve">legal </w:t>
      </w:r>
      <w:r w:rsidR="00170459">
        <w:t>firm</w:t>
      </w:r>
      <w:r w:rsidRPr="00B63132">
        <w:t>.</w:t>
      </w:r>
    </w:p>
    <w:p w14:paraId="0E72F2F5" w14:textId="77777777" w:rsidR="00F913CD" w:rsidRPr="0015255F" w:rsidRDefault="00F913CD" w:rsidP="007B5378">
      <w:pPr>
        <w:pStyle w:val="Heading2"/>
      </w:pPr>
      <w:bookmarkStart w:id="9" w:name="_Toc89326547"/>
      <w:bookmarkStart w:id="10" w:name="_Toc108354381"/>
      <w:r w:rsidRPr="0015255F">
        <w:t>Roles and Responsibilities</w:t>
      </w:r>
      <w:bookmarkStart w:id="11" w:name="_Toc84611047"/>
      <w:bookmarkEnd w:id="9"/>
      <w:bookmarkEnd w:id="10"/>
    </w:p>
    <w:p w14:paraId="02CE157A" w14:textId="65D208D0" w:rsidR="006178BB" w:rsidRDefault="006178BB" w:rsidP="001D10D8">
      <w:pPr>
        <w:pStyle w:val="Heading3"/>
      </w:pPr>
      <w:bookmarkStart w:id="12" w:name="_Toc108354382"/>
      <w:bookmarkEnd w:id="11"/>
      <w:r>
        <w:t>ICB Board</w:t>
      </w:r>
      <w:bookmarkEnd w:id="12"/>
    </w:p>
    <w:p w14:paraId="45A9126B" w14:textId="212DAB1E" w:rsidR="006178BB" w:rsidRPr="006178BB" w:rsidRDefault="006178BB" w:rsidP="006178BB">
      <w:pPr>
        <w:pStyle w:val="Style2"/>
      </w:pPr>
      <w:r w:rsidRPr="006178BB">
        <w:t xml:space="preserve">The ICB Board is accountable for ensuring that the ICB has effective processes for handling </w:t>
      </w:r>
      <w:r>
        <w:t>requests for legal support and advice.</w:t>
      </w:r>
    </w:p>
    <w:p w14:paraId="04FC39FB" w14:textId="003816C4" w:rsidR="00F913CD" w:rsidRPr="0015255F" w:rsidRDefault="009950AE" w:rsidP="001D10D8">
      <w:pPr>
        <w:pStyle w:val="Heading3"/>
      </w:pPr>
      <w:bookmarkStart w:id="13" w:name="_Toc108354383"/>
      <w:r>
        <w:t xml:space="preserve">Audit </w:t>
      </w:r>
      <w:r w:rsidR="00F913CD" w:rsidRPr="0015255F">
        <w:t>Committee</w:t>
      </w:r>
      <w:bookmarkEnd w:id="13"/>
    </w:p>
    <w:p w14:paraId="41C794CD" w14:textId="1884DA44" w:rsidR="009950AE" w:rsidRPr="009950AE" w:rsidRDefault="009950AE" w:rsidP="009950AE">
      <w:pPr>
        <w:pStyle w:val="Style2"/>
      </w:pPr>
      <w:r w:rsidRPr="009950AE">
        <w:t xml:space="preserve">The Audit Committee will have responsibility for monitoring compliance with this policy.  </w:t>
      </w:r>
    </w:p>
    <w:p w14:paraId="2032CA85" w14:textId="6D4FCD27" w:rsidR="00F913CD" w:rsidRPr="0015255F" w:rsidRDefault="00F913CD" w:rsidP="007C0FC5">
      <w:pPr>
        <w:pStyle w:val="Heading3"/>
      </w:pPr>
      <w:bookmarkStart w:id="14" w:name="_Toc108354384"/>
      <w:r w:rsidRPr="0015255F">
        <w:lastRenderedPageBreak/>
        <w:t>Chief Executive</w:t>
      </w:r>
      <w:bookmarkEnd w:id="14"/>
      <w:r w:rsidR="00592017">
        <w:t xml:space="preserve"> </w:t>
      </w:r>
    </w:p>
    <w:p w14:paraId="2C7F96BF" w14:textId="7EC68107" w:rsidR="006178BB" w:rsidRDefault="006178BB" w:rsidP="006178BB">
      <w:pPr>
        <w:pStyle w:val="Style2"/>
      </w:pPr>
      <w:r w:rsidRPr="006178BB">
        <w:t xml:space="preserve">The ICB Chief Executive has overall responsibility for the management of </w:t>
      </w:r>
      <w:r>
        <w:t>legal advice</w:t>
      </w:r>
      <w:r w:rsidR="00A05288">
        <w:t xml:space="preserve"> and has delegated day-to day responsibility to the Chief of Staff</w:t>
      </w:r>
      <w:r w:rsidRPr="006178BB">
        <w:t>.</w:t>
      </w:r>
    </w:p>
    <w:p w14:paraId="11484268" w14:textId="2EC28BDD" w:rsidR="00F913CD" w:rsidRPr="0015255F" w:rsidRDefault="006178BB" w:rsidP="00732AFE">
      <w:pPr>
        <w:pStyle w:val="Heading3"/>
      </w:pPr>
      <w:bookmarkStart w:id="15" w:name="_Toc108354385"/>
      <w:r>
        <w:t>Chief of Staff</w:t>
      </w:r>
      <w:bookmarkEnd w:id="15"/>
    </w:p>
    <w:p w14:paraId="13B64D49" w14:textId="79AA21FA" w:rsidR="00EB2446" w:rsidRPr="00EB2446" w:rsidRDefault="00EB2446" w:rsidP="00914EFC">
      <w:pPr>
        <w:pStyle w:val="Style2"/>
      </w:pPr>
      <w:r w:rsidRPr="00EB2446">
        <w:t xml:space="preserve">The </w:t>
      </w:r>
      <w:r w:rsidR="006178BB">
        <w:t>Chief of Staff</w:t>
      </w:r>
      <w:r w:rsidR="002B745C">
        <w:t>, assisted by the Deputy Director of Governance,</w:t>
      </w:r>
      <w:r w:rsidR="006178BB">
        <w:t xml:space="preserve"> </w:t>
      </w:r>
      <w:r w:rsidRPr="00EB2446">
        <w:t>is responsible for</w:t>
      </w:r>
      <w:r>
        <w:t>:</w:t>
      </w:r>
    </w:p>
    <w:p w14:paraId="53BFB545" w14:textId="12E20839" w:rsidR="00EB2446" w:rsidRDefault="00EB2446" w:rsidP="002B745C">
      <w:pPr>
        <w:pStyle w:val="ListParagraph"/>
        <w:numPr>
          <w:ilvl w:val="0"/>
          <w:numId w:val="15"/>
        </w:numPr>
        <w:autoSpaceDE w:val="0"/>
        <w:autoSpaceDN w:val="0"/>
        <w:adjustRightInd w:val="0"/>
        <w:spacing w:before="240"/>
        <w:ind w:left="1843" w:hanging="425"/>
        <w:rPr>
          <w:rFonts w:cs="Arial"/>
          <w:bCs/>
        </w:rPr>
      </w:pPr>
      <w:r w:rsidRPr="00755C8C">
        <w:rPr>
          <w:rFonts w:cs="Arial"/>
          <w:bCs/>
        </w:rPr>
        <w:t xml:space="preserve">Ensuring that </w:t>
      </w:r>
      <w:r>
        <w:rPr>
          <w:rFonts w:cs="Arial"/>
          <w:bCs/>
        </w:rPr>
        <w:t>appropriate arrangements are</w:t>
      </w:r>
      <w:r w:rsidRPr="00755C8C">
        <w:rPr>
          <w:rFonts w:cs="Arial"/>
          <w:bCs/>
        </w:rPr>
        <w:t xml:space="preserve"> in place to effectively </w:t>
      </w:r>
      <w:r>
        <w:rPr>
          <w:rFonts w:cs="Arial"/>
          <w:bCs/>
        </w:rPr>
        <w:t xml:space="preserve">manage </w:t>
      </w:r>
      <w:r w:rsidR="006178BB">
        <w:rPr>
          <w:rFonts w:cs="Arial"/>
          <w:bCs/>
        </w:rPr>
        <w:t>requests for legal support and advice.</w:t>
      </w:r>
    </w:p>
    <w:p w14:paraId="04623C5E" w14:textId="578B718E" w:rsidR="006178BB" w:rsidRDefault="006178BB" w:rsidP="002B745C">
      <w:pPr>
        <w:pStyle w:val="ListParagraph"/>
        <w:numPr>
          <w:ilvl w:val="0"/>
          <w:numId w:val="15"/>
        </w:numPr>
        <w:autoSpaceDE w:val="0"/>
        <w:autoSpaceDN w:val="0"/>
        <w:adjustRightInd w:val="0"/>
        <w:spacing w:before="240"/>
        <w:ind w:left="1843" w:hanging="425"/>
        <w:rPr>
          <w:rFonts w:cs="Arial"/>
          <w:bCs/>
        </w:rPr>
      </w:pPr>
      <w:r>
        <w:rPr>
          <w:rFonts w:cs="Arial"/>
          <w:bCs/>
        </w:rPr>
        <w:t>Advising officers and staff on the necessity and appropriateness of seeking legal advice.</w:t>
      </w:r>
    </w:p>
    <w:p w14:paraId="1B9032C6" w14:textId="51EDAF1F" w:rsidR="00DD4520" w:rsidRDefault="00DD4520" w:rsidP="002B745C">
      <w:pPr>
        <w:pStyle w:val="ListParagraph"/>
        <w:numPr>
          <w:ilvl w:val="0"/>
          <w:numId w:val="15"/>
        </w:numPr>
        <w:autoSpaceDE w:val="0"/>
        <w:autoSpaceDN w:val="0"/>
        <w:adjustRightInd w:val="0"/>
        <w:spacing w:before="240"/>
        <w:ind w:left="1843" w:hanging="425"/>
        <w:rPr>
          <w:rFonts w:cs="Arial"/>
          <w:bCs/>
        </w:rPr>
      </w:pPr>
      <w:r>
        <w:rPr>
          <w:rFonts w:cs="Arial"/>
          <w:bCs/>
        </w:rPr>
        <w:t>Advising whether a particular legal firm is best suited to provide advice on a particular matter.</w:t>
      </w:r>
    </w:p>
    <w:p w14:paraId="688BCDC2" w14:textId="72EDCCCD" w:rsidR="002B745C" w:rsidRDefault="002B745C" w:rsidP="002B745C">
      <w:pPr>
        <w:pStyle w:val="ListParagraph"/>
        <w:numPr>
          <w:ilvl w:val="0"/>
          <w:numId w:val="15"/>
        </w:numPr>
        <w:autoSpaceDE w:val="0"/>
        <w:autoSpaceDN w:val="0"/>
        <w:adjustRightInd w:val="0"/>
        <w:spacing w:before="240"/>
        <w:ind w:left="1843" w:hanging="425"/>
        <w:rPr>
          <w:rFonts w:cs="Arial"/>
          <w:bCs/>
        </w:rPr>
      </w:pPr>
      <w:r>
        <w:rPr>
          <w:rFonts w:cs="Arial"/>
          <w:bCs/>
        </w:rPr>
        <w:t>Authorising requests for legal advice.</w:t>
      </w:r>
    </w:p>
    <w:p w14:paraId="1DBF62CB" w14:textId="136E1A80" w:rsidR="00D55277" w:rsidRDefault="00D55277" w:rsidP="00D55277">
      <w:pPr>
        <w:pStyle w:val="ListParagraph"/>
        <w:numPr>
          <w:ilvl w:val="0"/>
          <w:numId w:val="15"/>
        </w:numPr>
        <w:autoSpaceDE w:val="0"/>
        <w:autoSpaceDN w:val="0"/>
        <w:adjustRightInd w:val="0"/>
        <w:spacing w:before="240"/>
        <w:ind w:left="1843" w:hanging="425"/>
        <w:rPr>
          <w:rFonts w:cs="Arial"/>
          <w:bCs/>
        </w:rPr>
      </w:pPr>
      <w:r>
        <w:rPr>
          <w:rFonts w:cs="Arial"/>
          <w:bCs/>
        </w:rPr>
        <w:t>Maintaining a record of legal advice obtained by the ICB and associated costs.</w:t>
      </w:r>
    </w:p>
    <w:p w14:paraId="5E9536FD" w14:textId="48AA8A3D" w:rsidR="006178BB" w:rsidRDefault="002B745C" w:rsidP="002B745C">
      <w:pPr>
        <w:pStyle w:val="ListParagraph"/>
        <w:numPr>
          <w:ilvl w:val="0"/>
          <w:numId w:val="15"/>
        </w:numPr>
        <w:autoSpaceDE w:val="0"/>
        <w:autoSpaceDN w:val="0"/>
        <w:adjustRightInd w:val="0"/>
        <w:spacing w:before="240"/>
        <w:ind w:left="1843" w:hanging="425"/>
        <w:rPr>
          <w:rFonts w:cs="Arial"/>
          <w:bCs/>
        </w:rPr>
      </w:pPr>
      <w:r>
        <w:rPr>
          <w:rFonts w:cs="Arial"/>
          <w:bCs/>
        </w:rPr>
        <w:t xml:space="preserve">Liaising with </w:t>
      </w:r>
      <w:r w:rsidR="00DD4520">
        <w:rPr>
          <w:rFonts w:cs="Arial"/>
          <w:bCs/>
        </w:rPr>
        <w:t>f</w:t>
      </w:r>
      <w:r>
        <w:rPr>
          <w:rFonts w:cs="Arial"/>
          <w:bCs/>
        </w:rPr>
        <w:t>inance and Executive Directors on budget management issues.</w:t>
      </w:r>
    </w:p>
    <w:p w14:paraId="5186191B" w14:textId="3B1C38AC" w:rsidR="00D55277" w:rsidRPr="00755C8C" w:rsidRDefault="00D55277" w:rsidP="002B745C">
      <w:pPr>
        <w:pStyle w:val="ListParagraph"/>
        <w:numPr>
          <w:ilvl w:val="0"/>
          <w:numId w:val="15"/>
        </w:numPr>
        <w:autoSpaceDE w:val="0"/>
        <w:autoSpaceDN w:val="0"/>
        <w:adjustRightInd w:val="0"/>
        <w:spacing w:before="240"/>
        <w:ind w:left="1843" w:hanging="425"/>
        <w:rPr>
          <w:rFonts w:cs="Arial"/>
          <w:bCs/>
        </w:rPr>
      </w:pPr>
      <w:r>
        <w:rPr>
          <w:rFonts w:cs="Arial"/>
          <w:bCs/>
        </w:rPr>
        <w:t>Reviewing the timeliness, value for money and quality of legal advice provided by firms instructed by the ICB at periodic intervals.</w:t>
      </w:r>
    </w:p>
    <w:p w14:paraId="3AE99153" w14:textId="1D76241E" w:rsidR="002B745C" w:rsidRDefault="002B745C" w:rsidP="00732AFE">
      <w:pPr>
        <w:pStyle w:val="Heading3"/>
      </w:pPr>
      <w:bookmarkStart w:id="16" w:name="_Toc108354386"/>
      <w:r>
        <w:t>Director of Resources</w:t>
      </w:r>
      <w:bookmarkEnd w:id="16"/>
    </w:p>
    <w:p w14:paraId="5854580E" w14:textId="4E3865D9" w:rsidR="002B745C" w:rsidRPr="002B745C" w:rsidRDefault="002B745C" w:rsidP="002B745C">
      <w:pPr>
        <w:pStyle w:val="Style2"/>
      </w:pPr>
      <w:r>
        <w:t>The Director of Resources may authorise legal advice in the absence of the Chief of Staff and Deputy Director of Governance.</w:t>
      </w:r>
    </w:p>
    <w:p w14:paraId="6B9CA7DB" w14:textId="77777777" w:rsidR="00A05288" w:rsidRDefault="00A05288" w:rsidP="00A05288">
      <w:pPr>
        <w:pStyle w:val="Heading3"/>
      </w:pPr>
      <w:bookmarkStart w:id="17" w:name="_Toc108354387"/>
      <w:r>
        <w:t>Policy Author</w:t>
      </w:r>
      <w:bookmarkEnd w:id="17"/>
    </w:p>
    <w:p w14:paraId="756FE232" w14:textId="497FFEAA" w:rsidR="00A05288" w:rsidRDefault="00A05288" w:rsidP="00A05288">
      <w:pPr>
        <w:pStyle w:val="Style2"/>
      </w:pPr>
      <w:r>
        <w:t xml:space="preserve">The policy author is responsible for reviewing and updating this policy on a three-yearly basis or sooner if required by legislation, guidance, organisational </w:t>
      </w:r>
      <w:proofErr w:type="gramStart"/>
      <w:r>
        <w:t>change</w:t>
      </w:r>
      <w:proofErr w:type="gramEnd"/>
      <w:r>
        <w:t xml:space="preserve"> or other circumstances.</w:t>
      </w:r>
    </w:p>
    <w:p w14:paraId="5019279B" w14:textId="3DEE2E38" w:rsidR="00F913CD" w:rsidRPr="0015255F" w:rsidRDefault="00F913CD" w:rsidP="00732AFE">
      <w:pPr>
        <w:pStyle w:val="Heading3"/>
      </w:pPr>
      <w:bookmarkStart w:id="18" w:name="_Toc108354388"/>
      <w:r w:rsidRPr="0015255F">
        <w:t>Line Managers</w:t>
      </w:r>
      <w:bookmarkEnd w:id="18"/>
      <w:r w:rsidRPr="0015255F">
        <w:t xml:space="preserve"> </w:t>
      </w:r>
    </w:p>
    <w:p w14:paraId="69446BD4" w14:textId="6FD291C3" w:rsidR="004704D0" w:rsidRPr="004704D0" w:rsidRDefault="004704D0" w:rsidP="00EB44FF">
      <w:pPr>
        <w:pStyle w:val="Style2"/>
      </w:pPr>
      <w:bookmarkStart w:id="19" w:name="_Toc84611055"/>
      <w:r w:rsidRPr="004704D0">
        <w:t xml:space="preserve">Line managers are responsible for </w:t>
      </w:r>
      <w:r w:rsidR="001D10D8">
        <w:t xml:space="preserve">being aware of the </w:t>
      </w:r>
      <w:r w:rsidR="002B745C">
        <w:t>p</w:t>
      </w:r>
      <w:r w:rsidR="001D10D8">
        <w:t>olicy and seek</w:t>
      </w:r>
      <w:r w:rsidR="002B745C">
        <w:t>ing</w:t>
      </w:r>
      <w:r w:rsidR="001D10D8">
        <w:t xml:space="preserve"> guidance and approval </w:t>
      </w:r>
      <w:r w:rsidR="002B745C">
        <w:t xml:space="preserve">before procuring </w:t>
      </w:r>
      <w:r w:rsidR="001D10D8">
        <w:t>legal advice.</w:t>
      </w:r>
    </w:p>
    <w:p w14:paraId="5F8853CC" w14:textId="77777777" w:rsidR="00F913CD" w:rsidRPr="0015255F" w:rsidRDefault="00F913CD" w:rsidP="00732AFE">
      <w:pPr>
        <w:pStyle w:val="Heading3"/>
      </w:pPr>
      <w:bookmarkStart w:id="20" w:name="_Toc108354389"/>
      <w:r w:rsidRPr="0015255F">
        <w:t>All Staff</w:t>
      </w:r>
      <w:bookmarkEnd w:id="19"/>
      <w:bookmarkEnd w:id="20"/>
    </w:p>
    <w:p w14:paraId="0C03950D" w14:textId="09B8646A" w:rsidR="00250FB0" w:rsidRDefault="002B745C" w:rsidP="00AC12CF">
      <w:pPr>
        <w:pStyle w:val="Style2"/>
      </w:pPr>
      <w:bookmarkStart w:id="21" w:name="_Toc84611056"/>
      <w:bookmarkStart w:id="22" w:name="_Toc89326548"/>
      <w:r>
        <w:t>St</w:t>
      </w:r>
      <w:r w:rsidR="00921039">
        <w:t>aff</w:t>
      </w:r>
      <w:r w:rsidR="00921039" w:rsidRPr="00921039">
        <w:t xml:space="preserve"> and other individuals covered by the scope of this policy</w:t>
      </w:r>
      <w:r>
        <w:t xml:space="preserve"> </w:t>
      </w:r>
      <w:r w:rsidR="00921039" w:rsidRPr="00921039">
        <w:t xml:space="preserve">are responsible </w:t>
      </w:r>
      <w:r w:rsidR="005354EB">
        <w:t xml:space="preserve">for </w:t>
      </w:r>
      <w:r w:rsidR="00AC12CF">
        <w:t>making themselves aware of the policy, seeking advice and acting in accord</w:t>
      </w:r>
      <w:r>
        <w:t>ance</w:t>
      </w:r>
      <w:r w:rsidR="00AC12CF">
        <w:t xml:space="preserve"> with the policy</w:t>
      </w:r>
      <w:r w:rsidR="00592017">
        <w:t>.</w:t>
      </w:r>
    </w:p>
    <w:p w14:paraId="0079C255" w14:textId="6E1E8105" w:rsidR="00F913CD" w:rsidRDefault="00F913CD" w:rsidP="007B5378">
      <w:pPr>
        <w:pStyle w:val="Heading2"/>
      </w:pPr>
      <w:bookmarkStart w:id="23" w:name="_Toc108354390"/>
      <w:r w:rsidRPr="0015255F">
        <w:lastRenderedPageBreak/>
        <w:t>Policy Detail</w:t>
      </w:r>
      <w:bookmarkEnd w:id="21"/>
      <w:bookmarkEnd w:id="22"/>
      <w:bookmarkEnd w:id="23"/>
    </w:p>
    <w:p w14:paraId="5C8541E8" w14:textId="5A63474A" w:rsidR="004E57AC" w:rsidRPr="004E57AC" w:rsidRDefault="00EF605C" w:rsidP="00B6633E">
      <w:pPr>
        <w:pStyle w:val="Heading3"/>
        <w:rPr>
          <w:b w:val="0"/>
          <w:bCs/>
        </w:rPr>
      </w:pPr>
      <w:bookmarkStart w:id="24" w:name="_Toc108354391"/>
      <w:r>
        <w:t>Reasons for seeking legal advice</w:t>
      </w:r>
      <w:bookmarkEnd w:id="24"/>
    </w:p>
    <w:p w14:paraId="294BBB46" w14:textId="0418C824" w:rsidR="00B6633E" w:rsidRPr="00EF605C" w:rsidRDefault="00B6633E" w:rsidP="004E57AC">
      <w:pPr>
        <w:pStyle w:val="Style2"/>
        <w:rPr>
          <w:b/>
        </w:rPr>
      </w:pPr>
      <w:r>
        <w:t>S</w:t>
      </w:r>
      <w:r w:rsidRPr="00B6633E">
        <w:t xml:space="preserve">ituations </w:t>
      </w:r>
      <w:r>
        <w:t>will o</w:t>
      </w:r>
      <w:r w:rsidRPr="00B6633E">
        <w:t xml:space="preserve">ccur where it is necessary and / or appropriate </w:t>
      </w:r>
      <w:r>
        <w:t xml:space="preserve">for the ICB and its representatives </w:t>
      </w:r>
      <w:r w:rsidRPr="00B6633E">
        <w:t xml:space="preserve">to seek legal advice. It may be a routine issue relating to the management of the </w:t>
      </w:r>
      <w:r>
        <w:t>ICB</w:t>
      </w:r>
      <w:r w:rsidRPr="00B6633E">
        <w:t xml:space="preserve"> (e.g. constitutional or matters of contract law) or it may relate to potential litigation. In such cases, early intervention may prevent situations escalating.</w:t>
      </w:r>
    </w:p>
    <w:p w14:paraId="7D913A72" w14:textId="77777777" w:rsidR="00EF605C" w:rsidRPr="00EF605C" w:rsidRDefault="00EF605C" w:rsidP="00EF605C">
      <w:pPr>
        <w:pStyle w:val="Style2"/>
      </w:pPr>
      <w:r w:rsidRPr="00EF605C">
        <w:t>Reasons to seek legal advice may include:</w:t>
      </w:r>
    </w:p>
    <w:p w14:paraId="010E69E4" w14:textId="52FC2A82" w:rsidR="00EF605C" w:rsidRPr="00EF605C" w:rsidRDefault="00EF605C" w:rsidP="00EF605C">
      <w:pPr>
        <w:pStyle w:val="ListParagraph"/>
      </w:pPr>
      <w:r w:rsidRPr="00EF605C">
        <w:t>A situation that has not been encountered before and is beyond the technical knowledge of any internal subject expert</w:t>
      </w:r>
      <w:r>
        <w:t>.</w:t>
      </w:r>
    </w:p>
    <w:p w14:paraId="3EA67BFC" w14:textId="6DCC9D6E" w:rsidR="00EF605C" w:rsidRPr="00EF605C" w:rsidRDefault="00EF605C" w:rsidP="00EF605C">
      <w:pPr>
        <w:pStyle w:val="ListParagraph"/>
      </w:pPr>
      <w:r w:rsidRPr="00EF605C">
        <w:t>Confirmation that a proposed or intended action is correct and lawful</w:t>
      </w:r>
      <w:r>
        <w:t>.</w:t>
      </w:r>
    </w:p>
    <w:p w14:paraId="5CEF4392" w14:textId="393DE1FF" w:rsidR="00EF605C" w:rsidRPr="00EF605C" w:rsidRDefault="00EF605C" w:rsidP="00EF605C">
      <w:pPr>
        <w:pStyle w:val="ListParagraph"/>
      </w:pPr>
      <w:r w:rsidRPr="00EF605C">
        <w:t xml:space="preserve">Disputes that may lead to legal action if not resolved at an early stage, e.g. contractual </w:t>
      </w:r>
      <w:proofErr w:type="gramStart"/>
      <w:r w:rsidRPr="00EF605C">
        <w:t>challenges</w:t>
      </w:r>
      <w:proofErr w:type="gramEnd"/>
      <w:r w:rsidRPr="00EF605C">
        <w:t xml:space="preserve"> and disputes</w:t>
      </w:r>
      <w:r>
        <w:t>.</w:t>
      </w:r>
    </w:p>
    <w:p w14:paraId="45C2BB75" w14:textId="696F5E5F" w:rsidR="00EF605C" w:rsidRPr="00B6633E" w:rsidRDefault="00EF605C" w:rsidP="00EF605C">
      <w:pPr>
        <w:pStyle w:val="ListParagraph"/>
      </w:pPr>
      <w:r w:rsidRPr="00EF605C">
        <w:t>Where another party has involved solicitors.</w:t>
      </w:r>
    </w:p>
    <w:p w14:paraId="5CC80300" w14:textId="77777777" w:rsidR="004E57AC" w:rsidRPr="004A677D" w:rsidRDefault="00B6633E" w:rsidP="004A677D">
      <w:pPr>
        <w:pStyle w:val="Style1"/>
        <w:rPr>
          <w:b/>
          <w:bCs/>
        </w:rPr>
      </w:pPr>
      <w:r w:rsidRPr="004A677D">
        <w:rPr>
          <w:b/>
          <w:bCs/>
        </w:rPr>
        <w:t>Accessing Legal Advice</w:t>
      </w:r>
    </w:p>
    <w:p w14:paraId="3C150B0E" w14:textId="04EBECBB" w:rsidR="00B6633E" w:rsidRPr="004A677D" w:rsidRDefault="000B7895" w:rsidP="004E57AC">
      <w:pPr>
        <w:pStyle w:val="Style2"/>
      </w:pPr>
      <w:r w:rsidRPr="004A677D">
        <w:t>I</w:t>
      </w:r>
      <w:r w:rsidR="00B6633E" w:rsidRPr="004A677D">
        <w:t xml:space="preserve">f you need legal advice, then refer to the flow chart </w:t>
      </w:r>
      <w:r w:rsidR="006A6111" w:rsidRPr="004A677D">
        <w:t xml:space="preserve">(Appendix </w:t>
      </w:r>
      <w:r w:rsidR="00BB5FD4">
        <w:t>B</w:t>
      </w:r>
      <w:r w:rsidR="006A6111" w:rsidRPr="004A677D">
        <w:t xml:space="preserve">) </w:t>
      </w:r>
      <w:r w:rsidR="00B6633E" w:rsidRPr="004A677D">
        <w:t>noting that only those officers listed in 4.</w:t>
      </w:r>
      <w:r w:rsidR="004A677D" w:rsidRPr="004A677D">
        <w:t xml:space="preserve">5 and 4.6 </w:t>
      </w:r>
      <w:r w:rsidR="00B6633E" w:rsidRPr="004A677D">
        <w:t>are authorised to seek legal advice.</w:t>
      </w:r>
    </w:p>
    <w:p w14:paraId="65E13A72" w14:textId="01B622A4" w:rsidR="00BE2D71" w:rsidRDefault="00BE2D71" w:rsidP="00BE2D71">
      <w:pPr>
        <w:pStyle w:val="Heading3"/>
      </w:pPr>
      <w:bookmarkStart w:id="25" w:name="_Toc108354392"/>
      <w:r>
        <w:t>Contacting legal firms</w:t>
      </w:r>
      <w:bookmarkEnd w:id="25"/>
    </w:p>
    <w:p w14:paraId="208942E4" w14:textId="77777777" w:rsidR="00BE2D71" w:rsidRDefault="00BE2D71" w:rsidP="004E57AC">
      <w:pPr>
        <w:pStyle w:val="Style2"/>
      </w:pPr>
      <w:r w:rsidRPr="00E10676">
        <w:t>If legal advice is to be effective, it is important that clear, accurate information regarding the situation in question is provided.</w:t>
      </w:r>
    </w:p>
    <w:p w14:paraId="4CD7EA10" w14:textId="77777777" w:rsidR="00BE2D71" w:rsidRPr="00E10676" w:rsidRDefault="00BE2D71" w:rsidP="004E57AC">
      <w:pPr>
        <w:pStyle w:val="Style2"/>
      </w:pPr>
      <w:r w:rsidRPr="00E10676">
        <w:t>It may be helpful to consider the following prior to seeking legal advice:</w:t>
      </w:r>
    </w:p>
    <w:p w14:paraId="123B3B5C" w14:textId="7A01F4F4" w:rsidR="00BE2D71" w:rsidRPr="00E10676" w:rsidRDefault="00CD2FC3" w:rsidP="00CD2FC3">
      <w:pPr>
        <w:pStyle w:val="ListParagraph"/>
        <w:numPr>
          <w:ilvl w:val="0"/>
          <w:numId w:val="34"/>
        </w:numPr>
        <w:ind w:left="1560"/>
      </w:pPr>
      <w:r>
        <w:t xml:space="preserve">Does the matter relate to </w:t>
      </w:r>
      <w:r w:rsidR="00BE2D71">
        <w:t>a clinical n</w:t>
      </w:r>
      <w:r w:rsidR="00BE2D71" w:rsidRPr="00E10676">
        <w:t xml:space="preserve">egligence </w:t>
      </w:r>
      <w:r w:rsidR="00BE2D71">
        <w:t xml:space="preserve">or personal injury </w:t>
      </w:r>
      <w:r w:rsidR="00BE2D71" w:rsidRPr="00E10676">
        <w:t xml:space="preserve">allegation, claim or potential claim? If yes, then refer to the </w:t>
      </w:r>
      <w:r w:rsidR="00867883">
        <w:t xml:space="preserve">ICB </w:t>
      </w:r>
      <w:r w:rsidR="00BE2D71" w:rsidRPr="00E10676">
        <w:t>Governance</w:t>
      </w:r>
      <w:r w:rsidR="00BE2D71">
        <w:t xml:space="preserve"> Lead</w:t>
      </w:r>
      <w:r w:rsidR="00BE2D71" w:rsidRPr="00E10676">
        <w:t>.</w:t>
      </w:r>
    </w:p>
    <w:p w14:paraId="05610035" w14:textId="25BE9DBA" w:rsidR="00BE2D71" w:rsidRPr="00E10676" w:rsidRDefault="00BE2D71" w:rsidP="00CD2FC3">
      <w:pPr>
        <w:pStyle w:val="ListParagraph"/>
        <w:numPr>
          <w:ilvl w:val="0"/>
          <w:numId w:val="34"/>
        </w:numPr>
        <w:ind w:left="1560"/>
      </w:pPr>
      <w:r w:rsidRPr="00E10676">
        <w:t xml:space="preserve">Have you contacted the internal subject expert? </w:t>
      </w:r>
      <w:r w:rsidR="006A6111">
        <w:t xml:space="preserve">See </w:t>
      </w:r>
      <w:r w:rsidR="00CD2FC3">
        <w:t>Appendix C for sources of potential advice</w:t>
      </w:r>
      <w:r w:rsidR="00592017">
        <w:t xml:space="preserve">. </w:t>
      </w:r>
      <w:r w:rsidRPr="00E10676">
        <w:t>Depending on the nature of the advice required, help may be available in-house</w:t>
      </w:r>
      <w:r>
        <w:t xml:space="preserve"> or </w:t>
      </w:r>
      <w:r w:rsidR="00DD4520">
        <w:t xml:space="preserve">from </w:t>
      </w:r>
      <w:r>
        <w:t>partner organisations</w:t>
      </w:r>
      <w:r w:rsidRPr="00E10676">
        <w:t xml:space="preserve">. </w:t>
      </w:r>
      <w:r w:rsidR="00CD2FC3">
        <w:t xml:space="preserve"> </w:t>
      </w:r>
      <w:r w:rsidRPr="00E10676">
        <w:t xml:space="preserve">For example, </w:t>
      </w:r>
      <w:r>
        <w:t>the H</w:t>
      </w:r>
      <w:r w:rsidRPr="00E10676">
        <w:t xml:space="preserve">uman Resources </w:t>
      </w:r>
      <w:r>
        <w:t xml:space="preserve">Team </w:t>
      </w:r>
      <w:r w:rsidRPr="00E10676">
        <w:t xml:space="preserve">for employment issues, </w:t>
      </w:r>
      <w:r>
        <w:t>and NHS Property Services for estates and facilities issues.</w:t>
      </w:r>
    </w:p>
    <w:p w14:paraId="7551A52D" w14:textId="2B339065" w:rsidR="00BE2D71" w:rsidRDefault="00BE2D71" w:rsidP="004E57AC">
      <w:pPr>
        <w:pStyle w:val="Style2"/>
      </w:pPr>
      <w:r w:rsidRPr="00E10676">
        <w:t>If authorisation is given to seek external legal advice</w:t>
      </w:r>
      <w:r w:rsidR="00DD4520">
        <w:t>,</w:t>
      </w:r>
      <w:r w:rsidRPr="00E10676">
        <w:t xml:space="preserve"> it is important to:</w:t>
      </w:r>
    </w:p>
    <w:p w14:paraId="6DB1EF88" w14:textId="169EC09E" w:rsidR="004A1229" w:rsidRPr="004A1229" w:rsidRDefault="004A1229" w:rsidP="004A1229">
      <w:pPr>
        <w:pStyle w:val="ListParagraph"/>
      </w:pPr>
      <w:r w:rsidRPr="00072D8D">
        <w:t>Ensure that you are clear about the issue you need advice on and the sequence/chronology of events (it may be helpful to write this down in advance if you are seeking verbal advice).</w:t>
      </w:r>
    </w:p>
    <w:p w14:paraId="38F7A040" w14:textId="3B05C9BC" w:rsidR="004A1229" w:rsidRPr="004A1229" w:rsidRDefault="004A1229" w:rsidP="004A1229">
      <w:pPr>
        <w:pStyle w:val="ListParagraph"/>
      </w:pPr>
      <w:r w:rsidRPr="00072D8D">
        <w:t xml:space="preserve">Ensure that you have any relevant documents/information to hand and can email or </w:t>
      </w:r>
      <w:r w:rsidR="00DD4520">
        <w:t xml:space="preserve">upload </w:t>
      </w:r>
      <w:r w:rsidRPr="00072D8D">
        <w:t>them if required.</w:t>
      </w:r>
    </w:p>
    <w:p w14:paraId="0ECB778B" w14:textId="77777777" w:rsidR="004A1229" w:rsidRDefault="004A1229" w:rsidP="004A1229">
      <w:pPr>
        <w:pStyle w:val="ListParagraph"/>
      </w:pPr>
      <w:r w:rsidRPr="00072D8D">
        <w:t>Ensure that any verbal request for advice is followed up in writing as soon as possible (e.g. by email) confirming the scope of advice that is required.</w:t>
      </w:r>
    </w:p>
    <w:p w14:paraId="6ECF33E7" w14:textId="4447E1F8" w:rsidR="004A1229" w:rsidRPr="004A1229" w:rsidRDefault="004A1229" w:rsidP="004A1229">
      <w:pPr>
        <w:pStyle w:val="ListParagraph"/>
      </w:pPr>
      <w:r w:rsidRPr="00072D8D">
        <w:lastRenderedPageBreak/>
        <w:t xml:space="preserve">Request an estimate of costs </w:t>
      </w:r>
      <w:r w:rsidR="00DD4520">
        <w:t>before engaging a legal advisor, except in urgent cases where an estimate must be sought and agreed as soon as possible</w:t>
      </w:r>
      <w:r w:rsidRPr="00072D8D">
        <w:t>.</w:t>
      </w:r>
    </w:p>
    <w:p w14:paraId="12C90C5B" w14:textId="44F97E30" w:rsidR="004A1229" w:rsidRPr="004A1229" w:rsidRDefault="004A1229" w:rsidP="004A1229">
      <w:pPr>
        <w:pStyle w:val="ListParagraph"/>
      </w:pPr>
      <w:r w:rsidRPr="00462A9D">
        <w:t xml:space="preserve">Copy the written request for advice to the </w:t>
      </w:r>
      <w:r>
        <w:t xml:space="preserve">Deputy Director of </w:t>
      </w:r>
      <w:r w:rsidRPr="00462A9D">
        <w:t xml:space="preserve">Governance and ask for the advice provided and any changes in the estimated costs to be shared with the </w:t>
      </w:r>
      <w:r>
        <w:t xml:space="preserve">Deputy Director of </w:t>
      </w:r>
      <w:r w:rsidRPr="00462A9D">
        <w:t>Governance.</w:t>
      </w:r>
    </w:p>
    <w:p w14:paraId="664FC65E" w14:textId="14B4B6D2" w:rsidR="00BE2D71" w:rsidRDefault="004A1229" w:rsidP="004A1229">
      <w:pPr>
        <w:pStyle w:val="ListParagraph"/>
      </w:pPr>
      <w:r w:rsidRPr="00462A9D">
        <w:t xml:space="preserve">Copy the estimate of costs to the </w:t>
      </w:r>
      <w:r>
        <w:t xml:space="preserve">Deputy </w:t>
      </w:r>
      <w:r w:rsidRPr="00462A9D">
        <w:t>Director of Governance.</w:t>
      </w:r>
    </w:p>
    <w:p w14:paraId="73D653F4" w14:textId="265C2CC8" w:rsidR="00DD4520" w:rsidRPr="004A1229" w:rsidRDefault="00DD4520" w:rsidP="004A1229">
      <w:pPr>
        <w:pStyle w:val="ListParagraph"/>
      </w:pPr>
      <w:r>
        <w:t xml:space="preserve">Provide regular updates to the Deputy Director of Governance </w:t>
      </w:r>
      <w:r w:rsidR="00CD2FC3">
        <w:t>if a legal case is ongoing</w:t>
      </w:r>
      <w:r>
        <w:t>.</w:t>
      </w:r>
    </w:p>
    <w:p w14:paraId="4144E5AE" w14:textId="3C9D9497" w:rsidR="00B6633E" w:rsidRDefault="00B6633E" w:rsidP="007B5378">
      <w:pPr>
        <w:pStyle w:val="Heading2"/>
      </w:pPr>
      <w:bookmarkStart w:id="26" w:name="_Toc108354393"/>
      <w:r>
        <w:t>Re</w:t>
      </w:r>
      <w:r w:rsidR="00867883">
        <w:t>porting of Legal Cases</w:t>
      </w:r>
      <w:bookmarkEnd w:id="26"/>
    </w:p>
    <w:p w14:paraId="23488F4F" w14:textId="54B03FD6" w:rsidR="001D10D8" w:rsidRPr="00867883" w:rsidRDefault="00867883" w:rsidP="00D55277">
      <w:pPr>
        <w:pStyle w:val="Style1"/>
        <w:rPr>
          <w:b/>
        </w:rPr>
      </w:pPr>
      <w:r w:rsidRPr="00867883">
        <w:t xml:space="preserve">The Board will be made aware of situations, recommendations or activities that could have </w:t>
      </w:r>
      <w:r w:rsidR="00D55277">
        <w:t>significant</w:t>
      </w:r>
      <w:r w:rsidRPr="00867883">
        <w:t xml:space="preserve"> legal consequences via </w:t>
      </w:r>
      <w:r w:rsidR="000B7895">
        <w:t>t</w:t>
      </w:r>
      <w:r w:rsidRPr="00867883">
        <w:t xml:space="preserve">he relevant </w:t>
      </w:r>
      <w:r w:rsidR="000B7895">
        <w:t xml:space="preserve">Executive Director </w:t>
      </w:r>
      <w:r w:rsidRPr="00867883">
        <w:t xml:space="preserve">or via the Chief Executive raising the matter directly with the Board.  </w:t>
      </w:r>
    </w:p>
    <w:p w14:paraId="38D6A5E2" w14:textId="77777777" w:rsidR="00F913CD" w:rsidRPr="0015255F" w:rsidRDefault="00F913CD" w:rsidP="007B5378">
      <w:pPr>
        <w:pStyle w:val="Heading2"/>
      </w:pPr>
      <w:bookmarkStart w:id="27" w:name="_Toc84611059"/>
      <w:bookmarkStart w:id="28" w:name="_Toc89326549"/>
      <w:bookmarkStart w:id="29" w:name="_Toc108354394"/>
      <w:r w:rsidRPr="0015255F">
        <w:t xml:space="preserve">Monitoring </w:t>
      </w:r>
      <w:r w:rsidRPr="006B3E9C">
        <w:t>Compliance</w:t>
      </w:r>
      <w:bookmarkEnd w:id="27"/>
      <w:bookmarkEnd w:id="28"/>
      <w:bookmarkEnd w:id="29"/>
    </w:p>
    <w:p w14:paraId="63F5E0EB" w14:textId="016C5C44" w:rsidR="00F15D18" w:rsidRPr="00F85B39" w:rsidRDefault="00F15D18" w:rsidP="00F15D18">
      <w:pPr>
        <w:pStyle w:val="Style1"/>
      </w:pPr>
      <w:r>
        <w:t xml:space="preserve">Compliance </w:t>
      </w:r>
      <w:r w:rsidRPr="00F85B39">
        <w:t xml:space="preserve">with this policy will be </w:t>
      </w:r>
      <w:r>
        <w:t>monitored</w:t>
      </w:r>
      <w:r w:rsidRPr="00F85B39">
        <w:t xml:space="preserve"> as part of the routine monitoring undertaken by the </w:t>
      </w:r>
      <w:r w:rsidRPr="006A6111">
        <w:t xml:space="preserve">Governance </w:t>
      </w:r>
      <w:r w:rsidR="000B7895">
        <w:t>team</w:t>
      </w:r>
    </w:p>
    <w:p w14:paraId="17D57EBF" w14:textId="50CD2F38" w:rsidR="00F85B39" w:rsidRPr="00F85B39" w:rsidRDefault="00F15781" w:rsidP="00914EFC">
      <w:pPr>
        <w:pStyle w:val="Style1"/>
      </w:pPr>
      <w:r w:rsidRPr="00F15781">
        <w:t xml:space="preserve">Staff </w:t>
      </w:r>
      <w:r>
        <w:t>operating outside</w:t>
      </w:r>
      <w:r w:rsidRPr="00F15781">
        <w:t xml:space="preserve"> of this policy may be subject to disciplinary proceedings in accordance with </w:t>
      </w:r>
      <w:r>
        <w:t>ICB Human Resources policies</w:t>
      </w:r>
    </w:p>
    <w:p w14:paraId="03671137" w14:textId="77777777" w:rsidR="00F913CD" w:rsidRPr="0015255F" w:rsidRDefault="00F913CD" w:rsidP="007B5378">
      <w:pPr>
        <w:pStyle w:val="Heading2"/>
      </w:pPr>
      <w:bookmarkStart w:id="30" w:name="_Toc84611060"/>
      <w:bookmarkStart w:id="31" w:name="_Toc89326550"/>
      <w:bookmarkStart w:id="32" w:name="_Toc108354395"/>
      <w:r w:rsidRPr="0015255F">
        <w:t xml:space="preserve">Staff </w:t>
      </w:r>
      <w:r w:rsidRPr="006B3E9C">
        <w:t>Training</w:t>
      </w:r>
      <w:bookmarkEnd w:id="30"/>
      <w:bookmarkEnd w:id="31"/>
      <w:bookmarkEnd w:id="32"/>
    </w:p>
    <w:p w14:paraId="580C0F52" w14:textId="798C05B3" w:rsidR="00F85B39" w:rsidRPr="00CD2FC3" w:rsidRDefault="00F85B39" w:rsidP="00914EFC">
      <w:pPr>
        <w:pStyle w:val="Style1"/>
      </w:pPr>
      <w:r w:rsidRPr="00CD2FC3">
        <w:t xml:space="preserve">All new </w:t>
      </w:r>
      <w:r w:rsidR="00867883" w:rsidRPr="00CD2FC3">
        <w:t xml:space="preserve">staff and managers </w:t>
      </w:r>
      <w:r w:rsidRPr="00CD2FC3">
        <w:t xml:space="preserve">will be </w:t>
      </w:r>
      <w:r w:rsidR="00867883" w:rsidRPr="00CD2FC3">
        <w:t xml:space="preserve">made aware of </w:t>
      </w:r>
      <w:r w:rsidRPr="00CD2FC3">
        <w:t xml:space="preserve">the ICB’s policies and procedures </w:t>
      </w:r>
      <w:r w:rsidR="00867883" w:rsidRPr="00CD2FC3">
        <w:t>as part of the induction process</w:t>
      </w:r>
      <w:r w:rsidRPr="00CD2FC3">
        <w:t xml:space="preserve">. </w:t>
      </w:r>
    </w:p>
    <w:p w14:paraId="7DF6B752" w14:textId="77777777" w:rsidR="00F913CD" w:rsidRPr="0015255F" w:rsidRDefault="00F913CD" w:rsidP="007B5378">
      <w:pPr>
        <w:pStyle w:val="Heading2"/>
      </w:pPr>
      <w:bookmarkStart w:id="33" w:name="_Toc84611061"/>
      <w:bookmarkStart w:id="34" w:name="_Toc89326551"/>
      <w:bookmarkStart w:id="35" w:name="_Toc108354396"/>
      <w:r w:rsidRPr="0015255F">
        <w:t>Arrangements For Review</w:t>
      </w:r>
      <w:bookmarkEnd w:id="33"/>
      <w:bookmarkEnd w:id="34"/>
      <w:bookmarkEnd w:id="35"/>
    </w:p>
    <w:p w14:paraId="7CE3CD4E" w14:textId="651C9998" w:rsidR="00F913CD" w:rsidRPr="0015255F" w:rsidRDefault="00F913CD" w:rsidP="006B3E9C">
      <w:pPr>
        <w:pStyle w:val="Style1"/>
      </w:pPr>
      <w:r w:rsidRPr="0015255F">
        <w:t xml:space="preserve">This policy will be reviewed </w:t>
      </w:r>
      <w:r w:rsidR="005F76E6">
        <w:t>on a</w:t>
      </w:r>
      <w:r w:rsidR="00AC12CF">
        <w:t xml:space="preserve"> three yearly cycle or sooner</w:t>
      </w:r>
      <w:r w:rsidRPr="0015255F">
        <w:t xml:space="preserve"> in the event of any relevant changes in legislation, national or local policy/guidance.</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36" w:name="_Toc84611062"/>
    </w:p>
    <w:p w14:paraId="4D2967FC" w14:textId="2DEDD94C" w:rsidR="00F913CD" w:rsidRPr="007B5378" w:rsidRDefault="00F913CD" w:rsidP="007B5378">
      <w:pPr>
        <w:pStyle w:val="Heading2"/>
      </w:pPr>
      <w:bookmarkStart w:id="37" w:name="_Toc89326552"/>
      <w:bookmarkStart w:id="38" w:name="_Toc108354397"/>
      <w:bookmarkEnd w:id="36"/>
      <w:r w:rsidRPr="007B5378">
        <w:t xml:space="preserve">Associated Policies, Guidance </w:t>
      </w:r>
      <w:r w:rsidR="005F76E6" w:rsidRPr="007B5378">
        <w:t>a</w:t>
      </w:r>
      <w:r w:rsidRPr="007B5378">
        <w:t>nd Documents</w:t>
      </w:r>
      <w:bookmarkEnd w:id="37"/>
      <w:bookmarkEnd w:id="38"/>
    </w:p>
    <w:p w14:paraId="7DE6C051" w14:textId="34EB69C1" w:rsidR="00F913CD" w:rsidRPr="000B7895" w:rsidRDefault="00F913CD" w:rsidP="00867883">
      <w:pPr>
        <w:pStyle w:val="Style2"/>
        <w:numPr>
          <w:ilvl w:val="0"/>
          <w:numId w:val="0"/>
        </w:numPr>
        <w:ind w:left="1710" w:hanging="540"/>
        <w:rPr>
          <w:b/>
          <w:bCs/>
        </w:rPr>
      </w:pPr>
      <w:r w:rsidRPr="000B7895">
        <w:rPr>
          <w:b/>
          <w:bCs/>
        </w:rPr>
        <w:t xml:space="preserve">Associated </w:t>
      </w:r>
      <w:r w:rsidR="00BE2D71" w:rsidRPr="000B7895">
        <w:rPr>
          <w:b/>
          <w:bCs/>
        </w:rPr>
        <w:t>ICB documents</w:t>
      </w:r>
      <w:r w:rsidR="000B7895">
        <w:rPr>
          <w:b/>
          <w:bCs/>
        </w:rPr>
        <w:t>:</w:t>
      </w:r>
    </w:p>
    <w:p w14:paraId="66630D5E" w14:textId="6D9CC38A" w:rsidR="00BE2D71" w:rsidRPr="000B33CD" w:rsidRDefault="00BE2D71" w:rsidP="00867883">
      <w:pPr>
        <w:pStyle w:val="Style2"/>
        <w:numPr>
          <w:ilvl w:val="2"/>
          <w:numId w:val="25"/>
        </w:numPr>
        <w:ind w:left="1710" w:hanging="540"/>
      </w:pPr>
      <w:r w:rsidRPr="000B33CD">
        <w:lastRenderedPageBreak/>
        <w:t xml:space="preserve">Standing Orders/ </w:t>
      </w:r>
      <w:r>
        <w:t>Scheme of Delegation /</w:t>
      </w:r>
      <w:r w:rsidRPr="000B33CD">
        <w:t>Standing Financial Instructions</w:t>
      </w:r>
      <w:r w:rsidR="00CD2FC3">
        <w:t>.</w:t>
      </w:r>
    </w:p>
    <w:p w14:paraId="0104B894" w14:textId="3BAC8EA7" w:rsidR="00BE2D71" w:rsidRPr="000B33CD" w:rsidRDefault="00BE2D71" w:rsidP="00867883">
      <w:pPr>
        <w:pStyle w:val="Style2"/>
        <w:numPr>
          <w:ilvl w:val="2"/>
          <w:numId w:val="25"/>
        </w:numPr>
        <w:ind w:left="1710" w:hanging="540"/>
      </w:pPr>
      <w:r w:rsidRPr="000B33CD">
        <w:t>Risk Management Strategy</w:t>
      </w:r>
      <w:r w:rsidR="00CD2FC3">
        <w:t>.</w:t>
      </w:r>
    </w:p>
    <w:p w14:paraId="2D29A8AF" w14:textId="65E96FD6" w:rsidR="00BE2D71" w:rsidRPr="000B33CD" w:rsidRDefault="00BE2D71" w:rsidP="00867883">
      <w:pPr>
        <w:pStyle w:val="Style2"/>
        <w:numPr>
          <w:ilvl w:val="2"/>
          <w:numId w:val="25"/>
        </w:numPr>
        <w:ind w:left="1710" w:hanging="540"/>
      </w:pPr>
      <w:r>
        <w:t>Complaints and Concerns Policy</w:t>
      </w:r>
      <w:r w:rsidR="00CD2FC3">
        <w:t>.</w:t>
      </w:r>
    </w:p>
    <w:p w14:paraId="32390DC7" w14:textId="5523C2AD" w:rsidR="00BE2D71" w:rsidRPr="000B33CD" w:rsidRDefault="00BE2D71" w:rsidP="00867883">
      <w:pPr>
        <w:pStyle w:val="Style2"/>
        <w:numPr>
          <w:ilvl w:val="2"/>
          <w:numId w:val="25"/>
        </w:numPr>
        <w:ind w:left="1710" w:hanging="540"/>
      </w:pPr>
      <w:r w:rsidRPr="000B33CD">
        <w:t>Information Governance Policy</w:t>
      </w:r>
      <w:r w:rsidR="00CD2FC3">
        <w:t>.</w:t>
      </w:r>
    </w:p>
    <w:p w14:paraId="0254A996" w14:textId="57F03A18" w:rsidR="001F408C" w:rsidRPr="001F408C" w:rsidRDefault="00BE2D71" w:rsidP="000B7895">
      <w:pPr>
        <w:pStyle w:val="Style2"/>
        <w:numPr>
          <w:ilvl w:val="2"/>
          <w:numId w:val="25"/>
        </w:numPr>
        <w:ind w:left="1710" w:hanging="540"/>
      </w:pPr>
      <w:r w:rsidRPr="000B33CD">
        <w:t>Freedom of Informat</w:t>
      </w:r>
      <w:r>
        <w:t>ion Policy</w:t>
      </w:r>
      <w:r w:rsidR="00CD2FC3">
        <w:t>.</w:t>
      </w:r>
    </w:p>
    <w:p w14:paraId="23825361" w14:textId="7C6611F6" w:rsidR="00F913CD" w:rsidRDefault="00F913CD" w:rsidP="007B5378">
      <w:pPr>
        <w:pStyle w:val="Heading2"/>
      </w:pPr>
      <w:bookmarkStart w:id="39" w:name="_Toc89326553"/>
      <w:bookmarkStart w:id="40" w:name="_Toc108354398"/>
      <w:r w:rsidRPr="0015255F">
        <w:t>References</w:t>
      </w:r>
      <w:bookmarkEnd w:id="39"/>
      <w:bookmarkEnd w:id="40"/>
    </w:p>
    <w:p w14:paraId="2BEF8369" w14:textId="088DE690" w:rsidR="00EF605C" w:rsidRPr="00EF605C" w:rsidRDefault="00EF605C" w:rsidP="00EF605C">
      <w:pPr>
        <w:pStyle w:val="ListParagraph"/>
      </w:pPr>
      <w:r>
        <w:t xml:space="preserve">For claims, refer to NHS Resolution website at </w:t>
      </w:r>
      <w:hyperlink r:id="rId11" w:history="1">
        <w:r w:rsidRPr="009D76EF">
          <w:rPr>
            <w:rStyle w:val="Hyperlink"/>
          </w:rPr>
          <w:t>https://resolution.</w:t>
        </w:r>
        <w:r w:rsidRPr="009D76EF">
          <w:rPr>
            <w:rStyle w:val="Hyperlink"/>
          </w:rPr>
          <w:t>n</w:t>
        </w:r>
        <w:r w:rsidRPr="009D76EF">
          <w:rPr>
            <w:rStyle w:val="Hyperlink"/>
          </w:rPr>
          <w:t>hs.uk/</w:t>
        </w:r>
      </w:hyperlink>
      <w:r w:rsidR="00D55277">
        <w:rPr>
          <w:rStyle w:val="Hyperlink"/>
        </w:rPr>
        <w:t>.</w:t>
      </w:r>
    </w:p>
    <w:p w14:paraId="0749B5BB" w14:textId="18E22290" w:rsidR="00F913CD" w:rsidRPr="0015255F" w:rsidRDefault="00F913CD" w:rsidP="007B5378">
      <w:pPr>
        <w:pStyle w:val="Heading2"/>
      </w:pPr>
      <w:bookmarkStart w:id="41" w:name="_Toc89326554"/>
      <w:bookmarkStart w:id="42" w:name="_Toc108354399"/>
      <w:r w:rsidRPr="0015255F">
        <w:t>Eq</w:t>
      </w:r>
      <w:r w:rsidR="00EF605C">
        <w:t>u</w:t>
      </w:r>
      <w:r w:rsidRPr="0015255F">
        <w:t>ality Impact Assessment</w:t>
      </w:r>
      <w:bookmarkEnd w:id="41"/>
      <w:bookmarkEnd w:id="42"/>
      <w:r w:rsidR="004B2102">
        <w:t xml:space="preserve"> </w:t>
      </w:r>
    </w:p>
    <w:p w14:paraId="32344773" w14:textId="5F09C5E6" w:rsidR="008344D6" w:rsidRPr="004B2102" w:rsidRDefault="004B2102" w:rsidP="00914EFC">
      <w:pPr>
        <w:pStyle w:val="Style1"/>
      </w:pPr>
      <w:r>
        <w:t>T</w:t>
      </w:r>
      <w:r w:rsidR="00F913CD" w:rsidRPr="0015255F">
        <w:t xml:space="preserve">he EIA has identified </w:t>
      </w:r>
      <w:r>
        <w:t xml:space="preserve">a </w:t>
      </w:r>
      <w:r w:rsidR="00BE2D71">
        <w:t xml:space="preserve">neutral </w:t>
      </w:r>
      <w:r>
        <w:t xml:space="preserve">impact and is included at </w:t>
      </w:r>
      <w:r w:rsidR="00F913CD" w:rsidRPr="004B2102">
        <w:rPr>
          <w:b/>
          <w:bCs/>
        </w:rPr>
        <w:t>Appendix</w:t>
      </w:r>
      <w:r>
        <w:rPr>
          <w:b/>
          <w:bCs/>
        </w:rPr>
        <w:t> </w:t>
      </w:r>
      <w:r w:rsidR="00F913CD" w:rsidRPr="004B2102">
        <w:rPr>
          <w:b/>
          <w:bCs/>
        </w:rPr>
        <w:t>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7B5378">
      <w:pPr>
        <w:pStyle w:val="Heading2"/>
        <w:numPr>
          <w:ilvl w:val="0"/>
          <w:numId w:val="0"/>
        </w:numPr>
      </w:pPr>
      <w:bookmarkStart w:id="43" w:name="_Toc419388298"/>
      <w:bookmarkStart w:id="44" w:name="_Toc47357161"/>
      <w:bookmarkStart w:id="45" w:name="_Toc84611065"/>
      <w:bookmarkStart w:id="46" w:name="_Toc89326555"/>
      <w:bookmarkStart w:id="47" w:name="_Toc108354400"/>
      <w:r w:rsidRPr="006606C1">
        <w:lastRenderedPageBreak/>
        <w:t>Appendix</w:t>
      </w:r>
      <w:r>
        <w:t xml:space="preserve"> A</w:t>
      </w:r>
      <w:bookmarkEnd w:id="43"/>
      <w:bookmarkEnd w:id="44"/>
      <w:bookmarkEnd w:id="45"/>
      <w:bookmarkEnd w:id="46"/>
      <w:r>
        <w:t xml:space="preserve"> </w:t>
      </w:r>
      <w:bookmarkStart w:id="48" w:name="_Toc84611066"/>
      <w:bookmarkStart w:id="49" w:name="_Toc89326556"/>
      <w:r w:rsidR="003A663C">
        <w:t xml:space="preserve">- </w:t>
      </w:r>
      <w:r w:rsidRPr="00FC7C60">
        <w:t>Equality Impact Assessment</w:t>
      </w:r>
      <w:bookmarkEnd w:id="48"/>
      <w:bookmarkEnd w:id="49"/>
      <w:bookmarkEnd w:id="47"/>
    </w:p>
    <w:p w14:paraId="154F71D8" w14:textId="77777777" w:rsidR="000B7895" w:rsidRPr="00B13488" w:rsidRDefault="000B7895" w:rsidP="000B7895">
      <w:pPr>
        <w:keepNext/>
        <w:keepLines/>
        <w:spacing w:before="240"/>
        <w:ind w:left="0"/>
        <w:outlineLvl w:val="0"/>
        <w:rPr>
          <w:rFonts w:asciiTheme="majorHAnsi" w:eastAsia="Times New Roman" w:hAnsiTheme="majorHAnsi" w:cstheme="majorBidi"/>
          <w:b/>
        </w:rPr>
      </w:pPr>
      <w:bookmarkStart w:id="50"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0B7895" w:rsidRPr="00B13488" w14:paraId="534B15D5" w14:textId="77777777" w:rsidTr="00956891">
        <w:trPr>
          <w:trHeight w:val="885"/>
        </w:trPr>
        <w:tc>
          <w:tcPr>
            <w:tcW w:w="2966" w:type="pct"/>
          </w:tcPr>
          <w:p w14:paraId="23CF2251" w14:textId="40C5054A" w:rsidR="000B7895" w:rsidRPr="00B13488" w:rsidRDefault="000B7895" w:rsidP="00956891">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Pr>
                <w:rFonts w:ascii="Arial" w:eastAsia="Times New Roman" w:hAnsi="Arial" w:cs="Arial"/>
                <w:color w:val="auto"/>
              </w:rPr>
              <w:t xml:space="preserve">Legal Advice </w:t>
            </w:r>
            <w:r w:rsidRPr="008D2E53">
              <w:rPr>
                <w:rFonts w:ascii="Arial" w:eastAsia="Times New Roman" w:hAnsi="Arial" w:cs="Arial"/>
                <w:color w:val="auto"/>
              </w:rPr>
              <w:t>Policy</w:t>
            </w:r>
          </w:p>
          <w:p w14:paraId="5C6455C4" w14:textId="77777777" w:rsidR="000B7895" w:rsidRPr="00B13488" w:rsidRDefault="000B7895" w:rsidP="00956891">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103B1FF7" w14:textId="51A971EF" w:rsidR="000B7895" w:rsidRPr="00B13488" w:rsidRDefault="000B7895" w:rsidP="00956891">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A05288" w:rsidRPr="00A05288">
              <w:rPr>
                <w:rFonts w:ascii="Arial" w:eastAsia="Times New Roman" w:hAnsi="Arial" w:cs="Arial"/>
                <w:color w:val="auto"/>
              </w:rPr>
              <w:t>1</w:t>
            </w:r>
            <w:r w:rsidRPr="00A05288">
              <w:rPr>
                <w:rFonts w:ascii="Arial" w:eastAsia="Times New Roman" w:hAnsi="Arial" w:cs="Arial"/>
                <w:color w:val="auto"/>
              </w:rPr>
              <w:t>.</w:t>
            </w:r>
            <w:r w:rsidR="00A05288" w:rsidRPr="00A05288">
              <w:rPr>
                <w:rFonts w:ascii="Arial" w:eastAsia="Times New Roman" w:hAnsi="Arial" w:cs="Arial"/>
                <w:color w:val="auto"/>
              </w:rPr>
              <w:t>0</w:t>
            </w:r>
          </w:p>
        </w:tc>
        <w:tc>
          <w:tcPr>
            <w:tcW w:w="2034" w:type="pct"/>
          </w:tcPr>
          <w:p w14:paraId="4745FF73" w14:textId="5E149660" w:rsidR="000B7895" w:rsidRPr="00B13488" w:rsidRDefault="000B7895" w:rsidP="00956891">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A05288">
              <w:rPr>
                <w:rFonts w:ascii="Arial" w:eastAsia="Times New Roman" w:hAnsi="Arial" w:cs="Arial"/>
                <w:bCs/>
                <w:color w:val="auto"/>
              </w:rPr>
              <w:t xml:space="preserve">Corporate Office / </w:t>
            </w:r>
            <w:r>
              <w:rPr>
                <w:rFonts w:ascii="Arial" w:eastAsia="Times New Roman" w:hAnsi="Arial" w:cs="Arial"/>
                <w:bCs/>
                <w:color w:val="auto"/>
              </w:rPr>
              <w:t>Governance</w:t>
            </w:r>
          </w:p>
          <w:p w14:paraId="6365CBDF" w14:textId="77777777" w:rsidR="000B7895" w:rsidRPr="00B13488" w:rsidRDefault="000B7895" w:rsidP="00956891">
            <w:pPr>
              <w:spacing w:before="0" w:after="0"/>
              <w:ind w:left="0"/>
              <w:rPr>
                <w:rFonts w:ascii="Arial" w:eastAsia="Times New Roman" w:hAnsi="Arial" w:cs="Arial"/>
                <w:bCs/>
                <w:color w:val="auto"/>
              </w:rPr>
            </w:pPr>
          </w:p>
        </w:tc>
      </w:tr>
      <w:tr w:rsidR="000B7895" w:rsidRPr="00B13488" w14:paraId="5E29293C" w14:textId="77777777" w:rsidTr="00956891">
        <w:tc>
          <w:tcPr>
            <w:tcW w:w="2966" w:type="pct"/>
          </w:tcPr>
          <w:p w14:paraId="029174D5" w14:textId="2B1022CF" w:rsidR="000B7895" w:rsidRPr="00B13488" w:rsidRDefault="000B7895" w:rsidP="00956891">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Pr="000B7895">
              <w:rPr>
                <w:rFonts w:ascii="Arial" w:eastAsia="Times New Roman" w:hAnsi="Arial" w:cs="Arial"/>
                <w:color w:val="auto"/>
              </w:rPr>
              <w:t>David Triggs, Governance Lead</w:t>
            </w:r>
          </w:p>
        </w:tc>
        <w:tc>
          <w:tcPr>
            <w:tcW w:w="2034" w:type="pct"/>
          </w:tcPr>
          <w:p w14:paraId="213BCACD" w14:textId="1F7A0E04" w:rsidR="000B7895" w:rsidRPr="00B13488" w:rsidRDefault="000B7895" w:rsidP="00956891">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Pr>
                <w:rFonts w:ascii="Arial" w:eastAsia="Times New Roman" w:hAnsi="Arial" w:cs="Arial"/>
                <w:bCs/>
                <w:color w:val="auto"/>
              </w:rPr>
              <w:t>May 2022</w:t>
            </w:r>
          </w:p>
          <w:p w14:paraId="0DDFCF87" w14:textId="77777777" w:rsidR="000B7895" w:rsidRPr="00B13488" w:rsidRDefault="000B7895" w:rsidP="00956891">
            <w:pPr>
              <w:spacing w:before="0" w:after="0"/>
              <w:ind w:left="0"/>
              <w:rPr>
                <w:rFonts w:ascii="Arial" w:eastAsia="Times New Roman" w:hAnsi="Arial" w:cs="Arial"/>
                <w:bCs/>
                <w:color w:val="auto"/>
              </w:rPr>
            </w:pPr>
          </w:p>
        </w:tc>
      </w:tr>
    </w:tbl>
    <w:p w14:paraId="6C1FCFAA" w14:textId="77777777" w:rsidR="000B7895" w:rsidRPr="00B13488" w:rsidRDefault="000B7895" w:rsidP="000B789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B7895" w:rsidRPr="00B13488" w14:paraId="7F7E1014" w14:textId="77777777" w:rsidTr="00956891">
        <w:tc>
          <w:tcPr>
            <w:tcW w:w="5000" w:type="pct"/>
            <w:vAlign w:val="center"/>
          </w:tcPr>
          <w:p w14:paraId="1B6EAA0A" w14:textId="77777777" w:rsidR="000B7895" w:rsidRPr="00B13488" w:rsidRDefault="000B7895" w:rsidP="00956891">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0B7895" w:rsidRPr="00B13488" w14:paraId="6C9894A5" w14:textId="77777777" w:rsidTr="00956891">
        <w:tc>
          <w:tcPr>
            <w:tcW w:w="5000" w:type="pct"/>
          </w:tcPr>
          <w:p w14:paraId="223BD64A" w14:textId="77777777" w:rsidR="000B7895" w:rsidRPr="00B13488" w:rsidRDefault="000B7895" w:rsidP="00956891">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0B7895" w:rsidRPr="00B13488" w14:paraId="64035F53" w14:textId="77777777" w:rsidTr="00EF605C">
        <w:trPr>
          <w:trHeight w:val="846"/>
        </w:trPr>
        <w:tc>
          <w:tcPr>
            <w:tcW w:w="5000" w:type="pct"/>
          </w:tcPr>
          <w:p w14:paraId="348B6DE3" w14:textId="1C6D9EFA" w:rsidR="000B7895" w:rsidRPr="00B13488" w:rsidRDefault="00B346EA" w:rsidP="00B346EA">
            <w:pPr>
              <w:autoSpaceDE w:val="0"/>
              <w:autoSpaceDN w:val="0"/>
              <w:adjustRightInd w:val="0"/>
              <w:spacing w:before="0" w:after="0"/>
              <w:ind w:left="0"/>
              <w:rPr>
                <w:rFonts w:ascii="Arial" w:eastAsia="Times New Roman" w:hAnsi="Arial" w:cs="Arial"/>
                <w:color w:val="000000"/>
              </w:rPr>
            </w:pPr>
            <w:r>
              <w:rPr>
                <w:rFonts w:ascii="Arial" w:eastAsia="Times New Roman" w:hAnsi="Arial" w:cs="Arial"/>
                <w:color w:val="000000"/>
              </w:rPr>
              <w:t>The policy is intended to ensure that s</w:t>
            </w:r>
            <w:r w:rsidRPr="00B346EA">
              <w:rPr>
                <w:rFonts w:ascii="Arial" w:eastAsia="Times New Roman" w:hAnsi="Arial" w:cs="Arial"/>
                <w:color w:val="000000"/>
              </w:rPr>
              <w:t>taff are aware of the process that must be followed when they need legal support and advice</w:t>
            </w:r>
            <w:r>
              <w:rPr>
                <w:rFonts w:ascii="Arial" w:eastAsia="Times New Roman" w:hAnsi="Arial" w:cs="Arial"/>
                <w:color w:val="000000"/>
              </w:rPr>
              <w:t xml:space="preserve"> and that the </w:t>
            </w:r>
            <w:r w:rsidRPr="00B346EA">
              <w:rPr>
                <w:rFonts w:ascii="Arial" w:eastAsia="Times New Roman" w:hAnsi="Arial" w:cs="Arial"/>
                <w:color w:val="000000"/>
              </w:rPr>
              <w:t>ICB receives high quality advice at a reasonable cost.</w:t>
            </w:r>
          </w:p>
        </w:tc>
      </w:tr>
      <w:tr w:rsidR="000B7895" w:rsidRPr="00B13488" w14:paraId="1CCF721B" w14:textId="77777777" w:rsidTr="00956891">
        <w:tc>
          <w:tcPr>
            <w:tcW w:w="5000" w:type="pct"/>
            <w:vAlign w:val="center"/>
          </w:tcPr>
          <w:p w14:paraId="706CE664" w14:textId="77777777" w:rsidR="000B7895" w:rsidRPr="00B13488" w:rsidRDefault="000B7895" w:rsidP="00956891">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0B7895" w:rsidRPr="00B13488" w14:paraId="43DEC12B" w14:textId="77777777" w:rsidTr="00956891">
        <w:tc>
          <w:tcPr>
            <w:tcW w:w="5000" w:type="pct"/>
          </w:tcPr>
          <w:p w14:paraId="5D593F50" w14:textId="77777777" w:rsidR="000B7895" w:rsidRPr="00B13488" w:rsidRDefault="000B7895" w:rsidP="00956891">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0B7895" w:rsidRPr="00B13488" w14:paraId="0DFB2DA5" w14:textId="77777777" w:rsidTr="00956891">
        <w:trPr>
          <w:trHeight w:val="778"/>
        </w:trPr>
        <w:tc>
          <w:tcPr>
            <w:tcW w:w="5000" w:type="pct"/>
          </w:tcPr>
          <w:p w14:paraId="53A5780B" w14:textId="30C7E55C" w:rsidR="000B7895" w:rsidRPr="00B13488" w:rsidRDefault="000B7895" w:rsidP="00956891">
            <w:pPr>
              <w:spacing w:before="0" w:after="0"/>
              <w:ind w:left="0"/>
              <w:rPr>
                <w:rFonts w:ascii="Arial" w:eastAsia="Times New Roman" w:hAnsi="Arial" w:cs="Arial"/>
                <w:b/>
                <w:color w:val="auto"/>
              </w:rPr>
            </w:pPr>
            <w:r w:rsidRPr="00B13488">
              <w:rPr>
                <w:rFonts w:ascii="Arial" w:eastAsia="Times New Roman" w:hAnsi="Arial" w:cs="Arial"/>
                <w:color w:val="auto"/>
              </w:rPr>
              <w:t xml:space="preserve">The policy has been shared with </w:t>
            </w:r>
            <w:r w:rsidR="00EF605C">
              <w:rPr>
                <w:rFonts w:ascii="Arial" w:eastAsia="Times New Roman" w:hAnsi="Arial" w:cs="Arial"/>
                <w:color w:val="auto"/>
              </w:rPr>
              <w:t xml:space="preserve">Governance </w:t>
            </w:r>
            <w:r w:rsidRPr="00B13488">
              <w:rPr>
                <w:rFonts w:ascii="Arial" w:eastAsia="Times New Roman" w:hAnsi="Arial" w:cs="Arial"/>
                <w:color w:val="auto"/>
              </w:rPr>
              <w:t xml:space="preserve">staff </w:t>
            </w:r>
            <w:r>
              <w:rPr>
                <w:rFonts w:ascii="Arial" w:eastAsia="Times New Roman" w:hAnsi="Arial" w:cs="Arial"/>
                <w:color w:val="auto"/>
              </w:rPr>
              <w:t xml:space="preserve">whose experience of handling </w:t>
            </w:r>
            <w:r w:rsidR="00EF605C">
              <w:rPr>
                <w:rFonts w:ascii="Arial" w:eastAsia="Times New Roman" w:hAnsi="Arial" w:cs="Arial"/>
                <w:color w:val="auto"/>
              </w:rPr>
              <w:t>legal cases</w:t>
            </w:r>
            <w:r>
              <w:rPr>
                <w:rFonts w:ascii="Arial" w:eastAsia="Times New Roman" w:hAnsi="Arial" w:cs="Arial"/>
                <w:color w:val="auto"/>
              </w:rPr>
              <w:t xml:space="preserve"> enables them </w:t>
            </w:r>
            <w:r w:rsidRPr="00B13488">
              <w:rPr>
                <w:rFonts w:ascii="Arial" w:eastAsia="Times New Roman" w:hAnsi="Arial" w:cs="Arial"/>
                <w:color w:val="auto"/>
              </w:rPr>
              <w:t>to help identify and minimise any possible impact on protected groups</w:t>
            </w:r>
            <w:r>
              <w:rPr>
                <w:rFonts w:ascii="Arial" w:eastAsia="Times New Roman" w:hAnsi="Arial" w:cs="Arial"/>
                <w:color w:val="auto"/>
              </w:rPr>
              <w:t>,</w:t>
            </w:r>
          </w:p>
        </w:tc>
      </w:tr>
      <w:tr w:rsidR="000B7895" w:rsidRPr="00B13488" w14:paraId="0147A016" w14:textId="77777777" w:rsidTr="00956891">
        <w:tc>
          <w:tcPr>
            <w:tcW w:w="5000" w:type="pct"/>
          </w:tcPr>
          <w:p w14:paraId="7812B8C7" w14:textId="77777777" w:rsidR="000B7895" w:rsidRPr="00B13488" w:rsidRDefault="000B7895" w:rsidP="00956891">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0B7895" w:rsidRPr="00B13488" w14:paraId="0F7EAECA" w14:textId="77777777" w:rsidTr="00956891">
        <w:trPr>
          <w:trHeight w:val="285"/>
        </w:trPr>
        <w:tc>
          <w:tcPr>
            <w:tcW w:w="5000" w:type="pct"/>
          </w:tcPr>
          <w:p w14:paraId="3619CEA3" w14:textId="7D727E0E" w:rsidR="00EF605C" w:rsidRPr="00EF605C" w:rsidRDefault="00EF605C" w:rsidP="00EF605C">
            <w:pPr>
              <w:pStyle w:val="ListParagraph"/>
              <w:numPr>
                <w:ilvl w:val="0"/>
                <w:numId w:val="30"/>
              </w:numPr>
              <w:spacing w:before="0" w:after="0"/>
              <w:rPr>
                <w:rFonts w:ascii="Arial" w:eastAsia="Times New Roman" w:hAnsi="Arial" w:cs="Arial"/>
                <w:color w:val="auto"/>
              </w:rPr>
            </w:pPr>
            <w:r w:rsidRPr="00EF605C">
              <w:rPr>
                <w:rFonts w:ascii="Arial" w:eastAsia="Times New Roman" w:hAnsi="Arial" w:cs="Arial"/>
                <w:color w:val="auto"/>
              </w:rPr>
              <w:t>Mid and South Essex CCG Governance Leads</w:t>
            </w:r>
          </w:p>
          <w:p w14:paraId="1719035B" w14:textId="31F63115" w:rsidR="00EF605C" w:rsidRPr="00EF605C" w:rsidRDefault="00EF605C" w:rsidP="00EF605C">
            <w:pPr>
              <w:pStyle w:val="ListParagraph"/>
              <w:numPr>
                <w:ilvl w:val="0"/>
                <w:numId w:val="30"/>
              </w:numPr>
              <w:spacing w:before="0" w:after="0"/>
              <w:rPr>
                <w:rFonts w:ascii="Arial" w:eastAsia="Times New Roman" w:hAnsi="Arial" w:cs="Arial"/>
                <w:color w:val="auto"/>
              </w:rPr>
            </w:pPr>
            <w:r w:rsidRPr="00EF605C">
              <w:rPr>
                <w:rFonts w:ascii="Arial" w:eastAsia="Times New Roman" w:hAnsi="Arial" w:cs="Arial"/>
                <w:color w:val="auto"/>
              </w:rPr>
              <w:t>Human Resources</w:t>
            </w:r>
          </w:p>
          <w:p w14:paraId="35A2801E" w14:textId="57C9B13A" w:rsidR="00EF605C" w:rsidRPr="00EF605C" w:rsidRDefault="00EF605C" w:rsidP="00EF605C">
            <w:pPr>
              <w:pStyle w:val="ListParagraph"/>
              <w:numPr>
                <w:ilvl w:val="0"/>
                <w:numId w:val="30"/>
              </w:numPr>
              <w:spacing w:before="0" w:after="0"/>
              <w:rPr>
                <w:rFonts w:ascii="Arial" w:eastAsia="Times New Roman" w:hAnsi="Arial" w:cs="Arial"/>
                <w:color w:val="auto"/>
              </w:rPr>
            </w:pPr>
            <w:r w:rsidRPr="00EF605C">
              <w:rPr>
                <w:rFonts w:ascii="Arial" w:eastAsia="Times New Roman" w:hAnsi="Arial" w:cs="Arial"/>
                <w:color w:val="auto"/>
              </w:rPr>
              <w:t>Information Governance Lead</w:t>
            </w:r>
          </w:p>
          <w:p w14:paraId="3619D25F" w14:textId="09932B4B" w:rsidR="00EF605C" w:rsidRPr="00EF605C" w:rsidRDefault="00EF605C" w:rsidP="00EF605C">
            <w:pPr>
              <w:pStyle w:val="ListParagraph"/>
              <w:numPr>
                <w:ilvl w:val="0"/>
                <w:numId w:val="30"/>
              </w:numPr>
              <w:spacing w:before="0" w:after="0"/>
              <w:rPr>
                <w:rFonts w:ascii="Arial" w:eastAsia="Times New Roman" w:hAnsi="Arial" w:cs="Arial"/>
                <w:color w:val="auto"/>
              </w:rPr>
            </w:pPr>
            <w:r w:rsidRPr="00EF605C">
              <w:rPr>
                <w:rFonts w:ascii="Arial" w:eastAsia="Times New Roman" w:hAnsi="Arial" w:cs="Arial"/>
                <w:color w:val="auto"/>
              </w:rPr>
              <w:t>CCG Director of Finance</w:t>
            </w:r>
          </w:p>
          <w:p w14:paraId="33D50DC9" w14:textId="40C67DE1" w:rsidR="000B7895" w:rsidRPr="00EF605C" w:rsidRDefault="00EF605C" w:rsidP="00EF605C">
            <w:pPr>
              <w:pStyle w:val="ListParagraph"/>
              <w:numPr>
                <w:ilvl w:val="0"/>
                <w:numId w:val="30"/>
              </w:numPr>
              <w:spacing w:before="0" w:after="0"/>
              <w:rPr>
                <w:rFonts w:ascii="Arial" w:eastAsia="Times New Roman" w:hAnsi="Arial" w:cs="Arial"/>
                <w:color w:val="auto"/>
              </w:rPr>
            </w:pPr>
            <w:r w:rsidRPr="00EF605C">
              <w:rPr>
                <w:rFonts w:ascii="Arial" w:eastAsia="Times New Roman" w:hAnsi="Arial" w:cs="Arial"/>
                <w:color w:val="auto"/>
              </w:rPr>
              <w:t>MSE CCGs Audit Committees meeting in common</w:t>
            </w:r>
          </w:p>
        </w:tc>
      </w:tr>
    </w:tbl>
    <w:p w14:paraId="0A044767" w14:textId="77777777" w:rsidR="000B7895" w:rsidRPr="00B13488" w:rsidRDefault="000B7895" w:rsidP="000B7895">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1EEE3ACD" w14:textId="568FF3FE" w:rsidR="000B7895" w:rsidRPr="00B13488" w:rsidRDefault="000B7895" w:rsidP="00A05288">
      <w:pPr>
        <w:spacing w:before="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60DE0996" w14:textId="6B903A8D" w:rsidR="000B7895" w:rsidRPr="00B13488" w:rsidRDefault="000B7895" w:rsidP="00A05288">
      <w:pPr>
        <w:spacing w:before="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4122B37B" w14:textId="77777777" w:rsidR="000B7895" w:rsidRPr="00B13488" w:rsidRDefault="000B7895" w:rsidP="000B7895">
      <w:pPr>
        <w:numPr>
          <w:ilvl w:val="0"/>
          <w:numId w:val="29"/>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6B4C566A" w14:textId="77777777" w:rsidR="000B7895" w:rsidRPr="00B13488" w:rsidRDefault="000B7895" w:rsidP="000B7895">
      <w:pPr>
        <w:numPr>
          <w:ilvl w:val="0"/>
          <w:numId w:val="29"/>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6A9C0D74" w14:textId="77777777" w:rsidR="000B7895" w:rsidRPr="00B13488" w:rsidRDefault="000B7895" w:rsidP="000B7895">
      <w:pPr>
        <w:numPr>
          <w:ilvl w:val="0"/>
          <w:numId w:val="29"/>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p w14:paraId="7FBCF92C" w14:textId="793BD764" w:rsidR="00A05288" w:rsidRDefault="000B7895" w:rsidP="000B7895">
      <w:pPr>
        <w:ind w:left="0"/>
      </w:pPr>
      <w:r w:rsidRPr="000C4FAD">
        <w:t xml:space="preserve">Please tick to show if outcome is likely to be positive, </w:t>
      </w:r>
      <w:proofErr w:type="gramStart"/>
      <w:r w:rsidRPr="000C4FAD">
        <w:t>negative</w:t>
      </w:r>
      <w:proofErr w:type="gramEnd"/>
      <w:r w:rsidRPr="000C4FAD">
        <w:t xml:space="preserve"> or neutral.  Consider direct and indirect discrimination, </w:t>
      </w:r>
      <w:proofErr w:type="gramStart"/>
      <w:r w:rsidRPr="000C4FAD">
        <w:t>harassment</w:t>
      </w:r>
      <w:proofErr w:type="gramEnd"/>
      <w:r w:rsidRPr="000C4FAD">
        <w:t xml:space="preserve"> and victimisation.</w:t>
      </w:r>
      <w:r w:rsidR="00A0528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0B7895" w:rsidRPr="00615058" w14:paraId="3D211B3D" w14:textId="77777777" w:rsidTr="00A05288">
        <w:trPr>
          <w:cantSplit/>
          <w:trHeight w:val="590"/>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FB00B9E" w14:textId="77777777" w:rsidR="000B7895" w:rsidRPr="00615058" w:rsidRDefault="000B7895" w:rsidP="00956891">
            <w:pPr>
              <w:pStyle w:val="NoSpacing"/>
              <w:rPr>
                <w:color w:val="FFFFFF" w:themeColor="background1"/>
              </w:rPr>
            </w:pPr>
            <w:r w:rsidRPr="00615058">
              <w:rPr>
                <w:color w:val="FFFFFF" w:themeColor="background1"/>
              </w:rPr>
              <w:lastRenderedPageBreak/>
              <w:t>Protected</w:t>
            </w:r>
          </w:p>
          <w:p w14:paraId="6FBA5EF9" w14:textId="77777777" w:rsidR="000B7895" w:rsidRPr="00615058" w:rsidRDefault="000B7895" w:rsidP="00956891">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BDA6799" w14:textId="77777777" w:rsidR="000B7895" w:rsidRPr="00615058" w:rsidRDefault="000B7895" w:rsidP="00956891">
            <w:pPr>
              <w:pStyle w:val="NoSpacing"/>
              <w:rPr>
                <w:color w:val="FFFFFF" w:themeColor="background1"/>
              </w:rPr>
            </w:pPr>
            <w:r w:rsidRPr="00615058">
              <w:rPr>
                <w:color w:val="FFFFFF" w:themeColor="background1"/>
              </w:rPr>
              <w:t>Positive</w:t>
            </w:r>
          </w:p>
          <w:p w14:paraId="64C53D35" w14:textId="77777777" w:rsidR="000B7895" w:rsidRPr="00615058" w:rsidRDefault="000B7895" w:rsidP="00956891">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DCA1848" w14:textId="77777777" w:rsidR="000B7895" w:rsidRPr="00615058" w:rsidRDefault="000B7895" w:rsidP="00956891">
            <w:pPr>
              <w:pStyle w:val="NoSpacing"/>
              <w:rPr>
                <w:color w:val="FFFFFF" w:themeColor="background1"/>
              </w:rPr>
            </w:pPr>
            <w:r w:rsidRPr="00615058">
              <w:rPr>
                <w:color w:val="FFFFFF" w:themeColor="background1"/>
              </w:rPr>
              <w:t>Negative</w:t>
            </w:r>
          </w:p>
          <w:p w14:paraId="4D126FED" w14:textId="77777777" w:rsidR="000B7895" w:rsidRPr="00615058" w:rsidRDefault="000B7895" w:rsidP="00956891">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75CB4FB" w14:textId="77777777" w:rsidR="000B7895" w:rsidRPr="00615058" w:rsidRDefault="000B7895" w:rsidP="00956891">
            <w:pPr>
              <w:pStyle w:val="NoSpacing"/>
              <w:rPr>
                <w:color w:val="FFFFFF" w:themeColor="background1"/>
              </w:rPr>
            </w:pPr>
            <w:r w:rsidRPr="00615058">
              <w:rPr>
                <w:color w:val="FFFFFF" w:themeColor="background1"/>
              </w:rPr>
              <w:t>Neutral</w:t>
            </w:r>
          </w:p>
          <w:p w14:paraId="1A97F1E1" w14:textId="77777777" w:rsidR="000B7895" w:rsidRPr="00615058" w:rsidRDefault="000B7895" w:rsidP="00956891">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226FF68" w14:textId="77777777" w:rsidR="000B7895" w:rsidRPr="00615058" w:rsidRDefault="000B7895" w:rsidP="00956891">
            <w:pPr>
              <w:pStyle w:val="NoSpacing"/>
              <w:rPr>
                <w:rFonts w:cs="Arial"/>
                <w:color w:val="FFFFFF" w:themeColor="background1"/>
              </w:rPr>
            </w:pPr>
            <w:r w:rsidRPr="00615058">
              <w:rPr>
                <w:rFonts w:cs="Arial"/>
                <w:color w:val="FFFFFF" w:themeColor="background1"/>
              </w:rPr>
              <w:t>Reason(s) for outcome</w:t>
            </w:r>
          </w:p>
        </w:tc>
      </w:tr>
      <w:tr w:rsidR="00EF605C" w:rsidRPr="00F26504" w14:paraId="738FDD2B" w14:textId="77777777" w:rsidTr="00EF605C">
        <w:trPr>
          <w:trHeight w:val="271"/>
        </w:trPr>
        <w:tc>
          <w:tcPr>
            <w:tcW w:w="1253" w:type="pct"/>
            <w:tcBorders>
              <w:top w:val="single" w:sz="4" w:space="0" w:color="auto"/>
              <w:left w:val="single" w:sz="4" w:space="0" w:color="auto"/>
              <w:bottom w:val="single" w:sz="4" w:space="0" w:color="auto"/>
              <w:right w:val="single" w:sz="4" w:space="0" w:color="auto"/>
            </w:tcBorders>
            <w:vAlign w:val="center"/>
          </w:tcPr>
          <w:p w14:paraId="3A1EC090" w14:textId="77777777" w:rsidR="00EF605C" w:rsidRPr="00F26504" w:rsidRDefault="00EF605C" w:rsidP="00EF605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48CE2024" w14:textId="4FBBEDC7"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6B3D807"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733AF1" w14:textId="3124A665"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0F0739C" w14:textId="20749328" w:rsidR="00EF605C" w:rsidRPr="00F26504" w:rsidRDefault="00EF605C" w:rsidP="00EF605C">
            <w:pPr>
              <w:pStyle w:val="NoSpacing"/>
            </w:pPr>
            <w:r>
              <w:t>No impact identified</w:t>
            </w:r>
          </w:p>
        </w:tc>
      </w:tr>
      <w:tr w:rsidR="00EF605C" w:rsidRPr="00F26504" w14:paraId="0F60E095" w14:textId="77777777" w:rsidTr="00EF605C">
        <w:trPr>
          <w:trHeight w:val="715"/>
        </w:trPr>
        <w:tc>
          <w:tcPr>
            <w:tcW w:w="1253" w:type="pct"/>
            <w:tcBorders>
              <w:top w:val="single" w:sz="4" w:space="0" w:color="auto"/>
              <w:left w:val="single" w:sz="4" w:space="0" w:color="auto"/>
              <w:bottom w:val="single" w:sz="4" w:space="0" w:color="auto"/>
              <w:right w:val="single" w:sz="4" w:space="0" w:color="auto"/>
            </w:tcBorders>
            <w:vAlign w:val="center"/>
          </w:tcPr>
          <w:p w14:paraId="7124AEFB" w14:textId="77777777" w:rsidR="00EF605C" w:rsidRDefault="00EF605C" w:rsidP="00EF605C">
            <w:pPr>
              <w:pStyle w:val="NoSpacing"/>
            </w:pPr>
            <w:r w:rsidRPr="00F26504">
              <w:t>Disability</w:t>
            </w:r>
          </w:p>
          <w:p w14:paraId="2759D6D6" w14:textId="77777777" w:rsidR="00EF605C" w:rsidRPr="00F26504" w:rsidRDefault="00EF605C" w:rsidP="00EF605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3C9388C3" w14:textId="779DBE63"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02F28373"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2CA987C1" w14:textId="66103600"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7EC9BAB3" w14:textId="77777777" w:rsidR="00EF605C" w:rsidRDefault="00EF605C" w:rsidP="00EF605C">
            <w:pPr>
              <w:pStyle w:val="NoSpacing"/>
            </w:pPr>
            <w:r>
              <w:t>As above.</w:t>
            </w:r>
          </w:p>
          <w:p w14:paraId="1C0C4FBA" w14:textId="77777777" w:rsidR="00EF605C" w:rsidRDefault="00EF605C" w:rsidP="00EF605C">
            <w:pPr>
              <w:pStyle w:val="NoSpacing"/>
            </w:pPr>
          </w:p>
          <w:p w14:paraId="1F5B5F39" w14:textId="6189BA33" w:rsidR="00EF605C" w:rsidRPr="00F26504" w:rsidRDefault="00EF605C" w:rsidP="00EF605C">
            <w:pPr>
              <w:pStyle w:val="NoSpacing"/>
            </w:pPr>
          </w:p>
        </w:tc>
      </w:tr>
      <w:tr w:rsidR="00EF605C" w:rsidRPr="00F26504" w14:paraId="0D9D968E" w14:textId="77777777" w:rsidTr="00EF605C">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12946390" w14:textId="77777777" w:rsidR="00EF605C" w:rsidRPr="00F26504" w:rsidRDefault="00EF605C" w:rsidP="00EF605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61BC3DF6" w14:textId="799DDDAA"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0DA1FE7B"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AC6EAE" w14:textId="16F47884"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41ED350" w14:textId="77777777" w:rsidR="00EF605C" w:rsidRPr="00F26504" w:rsidRDefault="00EF605C" w:rsidP="00EF605C">
            <w:pPr>
              <w:pStyle w:val="NoSpacing"/>
            </w:pPr>
            <w:r>
              <w:t>As above</w:t>
            </w:r>
          </w:p>
        </w:tc>
      </w:tr>
      <w:tr w:rsidR="00EF605C" w:rsidRPr="00F26504" w14:paraId="160FE0DD" w14:textId="77777777" w:rsidTr="00EF605C">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71A58E0A" w14:textId="77777777" w:rsidR="00EF605C" w:rsidRPr="00F26504" w:rsidRDefault="00EF605C" w:rsidP="00EF605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77470845" w14:textId="384DACC8"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7B153BF8"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AA9180" w14:textId="3BC0239D"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29CD7CE" w14:textId="77777777" w:rsidR="00EF605C" w:rsidRPr="00F26504" w:rsidRDefault="00EF605C" w:rsidP="00EF605C">
            <w:pPr>
              <w:pStyle w:val="NoSpacing"/>
            </w:pPr>
            <w:r>
              <w:t>As above</w:t>
            </w:r>
          </w:p>
        </w:tc>
      </w:tr>
      <w:tr w:rsidR="00EF605C" w:rsidRPr="00F26504" w14:paraId="2A096187" w14:textId="77777777" w:rsidTr="00EF605C">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7A324EC1" w14:textId="77777777" w:rsidR="00EF605C" w:rsidRPr="00F26504" w:rsidRDefault="00EF605C" w:rsidP="00EF605C">
            <w:pPr>
              <w:pStyle w:val="NoSpacing"/>
            </w:pPr>
            <w:r w:rsidRPr="00F26504">
              <w:t xml:space="preserve">Sexual </w:t>
            </w:r>
          </w:p>
          <w:p w14:paraId="77044576" w14:textId="77777777" w:rsidR="00EF605C" w:rsidRPr="00F26504" w:rsidRDefault="00EF605C" w:rsidP="00EF605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79E9A9BD" w14:textId="16EA4F66"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1421AAD4"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AA34188" w14:textId="552318B3"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415F94B" w14:textId="77777777" w:rsidR="00EF605C" w:rsidRPr="00F26504" w:rsidRDefault="00EF605C" w:rsidP="00EF605C">
            <w:pPr>
              <w:pStyle w:val="NoSpacing"/>
            </w:pPr>
            <w:r>
              <w:t>As above</w:t>
            </w:r>
          </w:p>
        </w:tc>
      </w:tr>
      <w:tr w:rsidR="00EF605C" w:rsidRPr="00F26504" w14:paraId="41F73EAA" w14:textId="77777777" w:rsidTr="00EF605C">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44EF431F" w14:textId="77777777" w:rsidR="00EF605C" w:rsidRPr="00F26504" w:rsidRDefault="00EF605C" w:rsidP="00EF605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29EED641" w14:textId="35F4AE42"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4A9E34DC"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25EAD12" w14:textId="3E775CA0"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75225A83" w14:textId="77777777" w:rsidR="00EF605C" w:rsidRPr="00F26504" w:rsidRDefault="00EF605C" w:rsidP="00EF605C">
            <w:pPr>
              <w:pStyle w:val="NoSpacing"/>
            </w:pPr>
            <w:r>
              <w:t>As above</w:t>
            </w:r>
          </w:p>
        </w:tc>
      </w:tr>
      <w:tr w:rsidR="00EF605C" w:rsidRPr="00F26504" w14:paraId="44974907" w14:textId="77777777" w:rsidTr="00EF605C">
        <w:trPr>
          <w:trHeight w:val="195"/>
        </w:trPr>
        <w:tc>
          <w:tcPr>
            <w:tcW w:w="1253" w:type="pct"/>
            <w:tcBorders>
              <w:top w:val="single" w:sz="4" w:space="0" w:color="auto"/>
              <w:left w:val="single" w:sz="4" w:space="0" w:color="auto"/>
              <w:bottom w:val="single" w:sz="4" w:space="0" w:color="auto"/>
              <w:right w:val="single" w:sz="4" w:space="0" w:color="auto"/>
            </w:tcBorders>
            <w:vAlign w:val="center"/>
          </w:tcPr>
          <w:p w14:paraId="452BC8F6" w14:textId="77777777" w:rsidR="00EF605C" w:rsidRPr="00F26504" w:rsidRDefault="00EF605C" w:rsidP="00EF605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3BC970F7" w14:textId="06CDE848"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39FF8747"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57694" w14:textId="0429388D"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A65F5E6" w14:textId="0645715C" w:rsidR="00EF605C" w:rsidRPr="00F26504" w:rsidRDefault="00EF605C" w:rsidP="00EF605C">
            <w:pPr>
              <w:pStyle w:val="NoSpacing"/>
            </w:pPr>
            <w:r>
              <w:t>As above.</w:t>
            </w:r>
          </w:p>
        </w:tc>
      </w:tr>
      <w:tr w:rsidR="00EF605C" w:rsidRPr="00F26504" w14:paraId="0658A8F9" w14:textId="77777777" w:rsidTr="00EF605C">
        <w:trPr>
          <w:trHeight w:val="922"/>
        </w:trPr>
        <w:tc>
          <w:tcPr>
            <w:tcW w:w="1253" w:type="pct"/>
            <w:tcBorders>
              <w:top w:val="single" w:sz="4" w:space="0" w:color="auto"/>
              <w:left w:val="single" w:sz="4" w:space="0" w:color="auto"/>
              <w:bottom w:val="single" w:sz="4" w:space="0" w:color="auto"/>
              <w:right w:val="single" w:sz="4" w:space="0" w:color="auto"/>
            </w:tcBorders>
            <w:vAlign w:val="center"/>
          </w:tcPr>
          <w:p w14:paraId="7AD96E87" w14:textId="77777777" w:rsidR="00EF605C" w:rsidRPr="00427866" w:rsidRDefault="00EF605C" w:rsidP="00EF605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02721AD9" w14:textId="2454BE84"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6E7C9639"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C9C0D09" w14:textId="3C6B2535"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9ACD448" w14:textId="77777777" w:rsidR="00EF605C" w:rsidRPr="00F26504" w:rsidRDefault="00EF605C" w:rsidP="00EF605C">
            <w:pPr>
              <w:pStyle w:val="NoSpacing"/>
            </w:pPr>
            <w:r>
              <w:t>As above</w:t>
            </w:r>
          </w:p>
        </w:tc>
      </w:tr>
      <w:tr w:rsidR="00EF605C" w:rsidRPr="00F26504" w14:paraId="0E836229" w14:textId="77777777" w:rsidTr="00EF605C">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125711A1" w14:textId="77777777" w:rsidR="00EF605C" w:rsidRPr="00427866" w:rsidRDefault="00EF605C" w:rsidP="00EF605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314C17AB" w14:textId="621D95CF" w:rsidR="00EF605C" w:rsidRPr="00F26504" w:rsidRDefault="00EF605C" w:rsidP="00EF605C">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4F34CE37" w14:textId="77777777" w:rsidR="00EF605C" w:rsidRPr="00F26504" w:rsidRDefault="00EF605C" w:rsidP="00EF605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7D7FEAE" w14:textId="757F2DA1" w:rsidR="00EF605C" w:rsidRPr="00F26504" w:rsidRDefault="00EF605C" w:rsidP="00EF605C">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745225DC" w14:textId="77777777" w:rsidR="00EF605C" w:rsidRPr="00F26504" w:rsidRDefault="00EF605C" w:rsidP="00EF605C">
            <w:pPr>
              <w:pStyle w:val="NoSpacing"/>
            </w:pPr>
            <w:r>
              <w:t>As above</w:t>
            </w:r>
          </w:p>
        </w:tc>
      </w:tr>
    </w:tbl>
    <w:p w14:paraId="3EEFFEE9" w14:textId="77777777" w:rsidR="000B7895" w:rsidRDefault="000B7895" w:rsidP="000B7895">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B7895" w:rsidRPr="00B13488" w14:paraId="2B1364EA" w14:textId="77777777" w:rsidTr="00956891">
        <w:trPr>
          <w:trHeight w:val="269"/>
        </w:trPr>
        <w:tc>
          <w:tcPr>
            <w:tcW w:w="5000" w:type="pct"/>
            <w:tcBorders>
              <w:top w:val="single" w:sz="4" w:space="0" w:color="auto"/>
              <w:left w:val="single" w:sz="4" w:space="0" w:color="auto"/>
              <w:right w:val="single" w:sz="4" w:space="0" w:color="auto"/>
            </w:tcBorders>
          </w:tcPr>
          <w:p w14:paraId="1812FA27" w14:textId="77777777" w:rsidR="000B7895" w:rsidRPr="00B13488" w:rsidRDefault="000B7895" w:rsidP="00956891">
            <w:pPr>
              <w:spacing w:before="0" w:after="0"/>
              <w:ind w:left="0"/>
              <w:rPr>
                <w:rFonts w:asciiTheme="majorHAnsi" w:eastAsia="Times New Roman" w:hAnsiTheme="majorHAnsi" w:cstheme="majorBidi"/>
                <w:b/>
                <w:bCs/>
              </w:rPr>
            </w:pPr>
            <w:r w:rsidRPr="00B13488">
              <w:rPr>
                <w:b/>
                <w:bCs/>
              </w:rPr>
              <w:t>MONITORING OUTCOMES</w:t>
            </w:r>
          </w:p>
        </w:tc>
      </w:tr>
      <w:tr w:rsidR="000B7895" w:rsidRPr="00B13488" w14:paraId="53F503D1" w14:textId="77777777" w:rsidTr="00956891">
        <w:trPr>
          <w:trHeight w:val="416"/>
        </w:trPr>
        <w:tc>
          <w:tcPr>
            <w:tcW w:w="5000" w:type="pct"/>
            <w:tcBorders>
              <w:top w:val="single" w:sz="4" w:space="0" w:color="auto"/>
              <w:left w:val="single" w:sz="4" w:space="0" w:color="auto"/>
              <w:right w:val="single" w:sz="4" w:space="0" w:color="auto"/>
            </w:tcBorders>
          </w:tcPr>
          <w:p w14:paraId="22132812" w14:textId="77777777" w:rsidR="000B7895" w:rsidRPr="00B13488" w:rsidRDefault="000B7895" w:rsidP="00956891">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0B7895" w:rsidRPr="00B13488" w14:paraId="17E2C033" w14:textId="77777777" w:rsidTr="00A05288">
        <w:trPr>
          <w:trHeight w:val="329"/>
        </w:trPr>
        <w:tc>
          <w:tcPr>
            <w:tcW w:w="5000" w:type="pct"/>
            <w:tcBorders>
              <w:top w:val="single" w:sz="4" w:space="0" w:color="auto"/>
              <w:left w:val="single" w:sz="4" w:space="0" w:color="auto"/>
              <w:right w:val="single" w:sz="4" w:space="0" w:color="auto"/>
            </w:tcBorders>
          </w:tcPr>
          <w:p w14:paraId="79A05B7D" w14:textId="77777777" w:rsidR="000B7895" w:rsidRPr="00B13488" w:rsidRDefault="000B7895" w:rsidP="00956891">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0B7895" w:rsidRPr="00B13488" w14:paraId="62630C57" w14:textId="77777777" w:rsidTr="00956891">
        <w:trPr>
          <w:trHeight w:val="1128"/>
        </w:trPr>
        <w:tc>
          <w:tcPr>
            <w:tcW w:w="5000" w:type="pct"/>
            <w:tcBorders>
              <w:top w:val="single" w:sz="4" w:space="0" w:color="auto"/>
              <w:left w:val="single" w:sz="4" w:space="0" w:color="auto"/>
              <w:right w:val="single" w:sz="4" w:space="0" w:color="auto"/>
            </w:tcBorders>
          </w:tcPr>
          <w:p w14:paraId="70F42CAE" w14:textId="6265385A" w:rsidR="000B7895" w:rsidRPr="00B13488" w:rsidRDefault="000B7895" w:rsidP="00956891">
            <w:pPr>
              <w:spacing w:before="0" w:after="0"/>
              <w:ind w:left="0"/>
            </w:pPr>
            <w:r>
              <w:t xml:space="preserve">Any breaches of this policy will be reported to the </w:t>
            </w:r>
            <w:r w:rsidRPr="000B7895">
              <w:t>Audit</w:t>
            </w:r>
            <w:r>
              <w:t xml:space="preserve"> Committee and triangulated with other information held by the ICB in relation to incidents, complaints or disciplinary action involving individuals who believe they have been mis-treated due to their protected groups status.  </w:t>
            </w:r>
          </w:p>
        </w:tc>
      </w:tr>
    </w:tbl>
    <w:p w14:paraId="0CDD4CA3" w14:textId="77777777" w:rsidR="000B7895" w:rsidRDefault="000B7895" w:rsidP="000B7895">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B7895" w:rsidRPr="00B13488" w14:paraId="27D95424" w14:textId="77777777" w:rsidTr="00956891">
        <w:tc>
          <w:tcPr>
            <w:tcW w:w="5000" w:type="pct"/>
            <w:tcBorders>
              <w:left w:val="single" w:sz="4" w:space="0" w:color="auto"/>
              <w:right w:val="single" w:sz="4" w:space="0" w:color="auto"/>
            </w:tcBorders>
          </w:tcPr>
          <w:p w14:paraId="20D1B354" w14:textId="77777777" w:rsidR="000B7895" w:rsidRPr="00B13488" w:rsidRDefault="000B7895" w:rsidP="00956891">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0B7895" w:rsidRPr="00B13488" w14:paraId="0B5009B7" w14:textId="77777777" w:rsidTr="00956891">
        <w:tc>
          <w:tcPr>
            <w:tcW w:w="5000" w:type="pct"/>
            <w:tcBorders>
              <w:left w:val="single" w:sz="4" w:space="0" w:color="auto"/>
              <w:right w:val="single" w:sz="4" w:space="0" w:color="auto"/>
            </w:tcBorders>
          </w:tcPr>
          <w:p w14:paraId="577DAC83" w14:textId="77777777" w:rsidR="000B7895" w:rsidRPr="00B13488" w:rsidRDefault="000B7895" w:rsidP="00956891">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0B7895" w:rsidRPr="00B13488" w14:paraId="1D78F591" w14:textId="77777777" w:rsidTr="00A05288">
        <w:trPr>
          <w:trHeight w:val="604"/>
        </w:trPr>
        <w:tc>
          <w:tcPr>
            <w:tcW w:w="5000" w:type="pct"/>
            <w:tcBorders>
              <w:left w:val="single" w:sz="4" w:space="0" w:color="auto"/>
              <w:right w:val="single" w:sz="4" w:space="0" w:color="auto"/>
            </w:tcBorders>
          </w:tcPr>
          <w:p w14:paraId="18916914" w14:textId="2235F933" w:rsidR="000B7895" w:rsidRPr="00B13488" w:rsidRDefault="000B7895" w:rsidP="00956891">
            <w:pPr>
              <w:spacing w:before="0" w:after="0"/>
              <w:ind w:left="0"/>
              <w:rPr>
                <w:rFonts w:ascii="Arial" w:eastAsia="Times New Roman" w:hAnsi="Arial" w:cs="Arial"/>
                <w:bCs/>
                <w:color w:val="auto"/>
              </w:rPr>
            </w:pPr>
            <w:r w:rsidRPr="00B13488">
              <w:rPr>
                <w:rFonts w:ascii="Arial" w:eastAsia="Times New Roman" w:hAnsi="Arial" w:cs="Arial"/>
                <w:bCs/>
                <w:color w:val="auto"/>
              </w:rPr>
              <w:t xml:space="preserve">Every </w:t>
            </w:r>
            <w:r>
              <w:rPr>
                <w:rFonts w:ascii="Arial" w:eastAsia="Times New Roman" w:hAnsi="Arial" w:cs="Arial"/>
                <w:bCs/>
                <w:color w:val="auto"/>
              </w:rPr>
              <w:t>3</w:t>
            </w:r>
            <w:r w:rsidRPr="00B13488">
              <w:rPr>
                <w:rFonts w:ascii="Arial" w:eastAsia="Times New Roman" w:hAnsi="Arial" w:cs="Arial"/>
                <w:bCs/>
                <w:color w:val="auto"/>
              </w:rPr>
              <w:t xml:space="preserve"> years as a minimum and earlier if there are any significant changes in legislation, </w:t>
            </w:r>
            <w:proofErr w:type="gramStart"/>
            <w:r w:rsidRPr="00B13488">
              <w:rPr>
                <w:rFonts w:ascii="Arial" w:eastAsia="Times New Roman" w:hAnsi="Arial" w:cs="Arial"/>
                <w:bCs/>
                <w:color w:val="auto"/>
              </w:rPr>
              <w:t>policy</w:t>
            </w:r>
            <w:proofErr w:type="gramEnd"/>
            <w:r w:rsidRPr="00B13488">
              <w:rPr>
                <w:rFonts w:ascii="Arial" w:eastAsia="Times New Roman" w:hAnsi="Arial" w:cs="Arial"/>
                <w:bCs/>
                <w:color w:val="auto"/>
              </w:rPr>
              <w:t xml:space="preserve"> or good practice.</w:t>
            </w:r>
          </w:p>
        </w:tc>
      </w:tr>
      <w:tr w:rsidR="000B7895" w:rsidRPr="00B13488" w14:paraId="4F37D789" w14:textId="77777777" w:rsidTr="00956891">
        <w:tc>
          <w:tcPr>
            <w:tcW w:w="5000" w:type="pct"/>
            <w:tcBorders>
              <w:left w:val="single" w:sz="4" w:space="0" w:color="auto"/>
              <w:right w:val="single" w:sz="4" w:space="0" w:color="auto"/>
            </w:tcBorders>
          </w:tcPr>
          <w:p w14:paraId="44717239" w14:textId="77777777" w:rsidR="000B7895" w:rsidRPr="00B13488" w:rsidRDefault="000B7895" w:rsidP="00956891">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0B7895" w:rsidRPr="00B13488" w14:paraId="4398B7AD" w14:textId="77777777" w:rsidTr="00956891">
        <w:trPr>
          <w:trHeight w:val="275"/>
        </w:trPr>
        <w:tc>
          <w:tcPr>
            <w:tcW w:w="5000" w:type="pct"/>
            <w:tcBorders>
              <w:left w:val="single" w:sz="4" w:space="0" w:color="auto"/>
              <w:right w:val="single" w:sz="4" w:space="0" w:color="auto"/>
            </w:tcBorders>
          </w:tcPr>
          <w:p w14:paraId="2C549303" w14:textId="77777777" w:rsidR="000B7895" w:rsidRPr="00B13488" w:rsidRDefault="000B7895" w:rsidP="00956891">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tbl>
    <w:p w14:paraId="54CB3CAA" w14:textId="77777777" w:rsidR="000B7895" w:rsidRDefault="000B7895" w:rsidP="000B7895">
      <w:pPr>
        <w:spacing w:before="0" w:after="0"/>
        <w:ind w:left="0"/>
        <w:rPr>
          <w:b/>
          <w:bCs/>
        </w:rPr>
      </w:pPr>
    </w:p>
    <w:bookmarkEnd w:id="50"/>
    <w:p w14:paraId="03CF05AB" w14:textId="6AE4508F" w:rsidR="00C31806" w:rsidRPr="000B7895" w:rsidRDefault="00C31806">
      <w:pPr>
        <w:spacing w:before="0" w:after="0"/>
        <w:ind w:left="0"/>
      </w:pPr>
      <w:r>
        <w:br w:type="page"/>
      </w:r>
    </w:p>
    <w:p w14:paraId="5320BD1F" w14:textId="16FAF8DA" w:rsidR="00BD052E" w:rsidRDefault="00D9038F" w:rsidP="007B5378">
      <w:pPr>
        <w:pStyle w:val="Heading2"/>
        <w:numPr>
          <w:ilvl w:val="0"/>
          <w:numId w:val="0"/>
        </w:numPr>
        <w:ind w:left="1134"/>
      </w:pPr>
      <w:bookmarkStart w:id="51" w:name="_Hlk102677603"/>
      <w:bookmarkStart w:id="52" w:name="_Toc108354401"/>
      <w:r w:rsidRPr="006606C1">
        <w:lastRenderedPageBreak/>
        <w:t>Appendix</w:t>
      </w:r>
      <w:r>
        <w:t xml:space="preserve"> </w:t>
      </w:r>
      <w:r w:rsidR="00182901">
        <w:t>B</w:t>
      </w:r>
      <w:r w:rsidR="00A321E7">
        <w:t xml:space="preserve"> – Flowchart for Accessing Legal Advice</w:t>
      </w:r>
      <w:bookmarkEnd w:id="52"/>
    </w:p>
    <w:p w14:paraId="35299265" w14:textId="0428AF21" w:rsidR="009A5CB3" w:rsidRDefault="009A5CB3" w:rsidP="009A5CB3">
      <w:pPr>
        <w:ind w:left="0"/>
      </w:pPr>
    </w:p>
    <w:p w14:paraId="27D334A5" w14:textId="3924CEE4" w:rsidR="009A5CB3" w:rsidRDefault="004A1229" w:rsidP="009A5CB3">
      <w:pPr>
        <w:ind w:left="0"/>
      </w:pPr>
      <w:r>
        <w:rPr>
          <w:noProof/>
        </w:rPr>
        <w:drawing>
          <wp:inline distT="0" distB="0" distL="0" distR="0" wp14:anchorId="29135C2A" wp14:editId="2AF2A15A">
            <wp:extent cx="6203315" cy="72320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315" cy="7232015"/>
                    </a:xfrm>
                    <a:prstGeom prst="rect">
                      <a:avLst/>
                    </a:prstGeom>
                    <a:noFill/>
                  </pic:spPr>
                </pic:pic>
              </a:graphicData>
            </a:graphic>
          </wp:inline>
        </w:drawing>
      </w:r>
    </w:p>
    <w:p w14:paraId="3FD820C6" w14:textId="28013E4D" w:rsidR="004A1229" w:rsidRDefault="004A1229" w:rsidP="009A5CB3">
      <w:pPr>
        <w:ind w:left="0"/>
      </w:pPr>
      <w:r>
        <w:br w:type="page"/>
      </w:r>
    </w:p>
    <w:p w14:paraId="301F0CB4" w14:textId="5260082C" w:rsidR="00BE2D71" w:rsidRPr="00BE2D71" w:rsidRDefault="00BE2D71" w:rsidP="007B5378">
      <w:pPr>
        <w:pStyle w:val="Heading2"/>
        <w:numPr>
          <w:ilvl w:val="0"/>
          <w:numId w:val="0"/>
        </w:numPr>
        <w:ind w:left="1134"/>
      </w:pPr>
      <w:bookmarkStart w:id="53" w:name="_Toc108354402"/>
      <w:bookmarkEnd w:id="51"/>
      <w:r w:rsidRPr="006606C1">
        <w:lastRenderedPageBreak/>
        <w:t>Appendix</w:t>
      </w:r>
      <w:r>
        <w:t xml:space="preserve"> C</w:t>
      </w:r>
      <w:r w:rsidR="00A321E7">
        <w:t xml:space="preserve"> – Sources of Advice</w:t>
      </w:r>
      <w:bookmarkEnd w:id="53"/>
    </w:p>
    <w:p w14:paraId="132EFA06" w14:textId="7850000E" w:rsidR="00BE2D71" w:rsidRPr="000B7895" w:rsidRDefault="00BE2D71" w:rsidP="000B7895">
      <w:pPr>
        <w:ind w:left="0"/>
        <w:rPr>
          <w:b/>
          <w:bCs/>
          <w:lang w:val="en-US" w:eastAsia="en-GB" w:bidi="hi-IN"/>
        </w:rPr>
      </w:pPr>
      <w:r w:rsidRPr="000B7895">
        <w:rPr>
          <w:b/>
          <w:bCs/>
          <w:lang w:val="en-US" w:eastAsia="en-GB" w:bidi="hi-IN"/>
        </w:rPr>
        <w:t>Internal subject matter experts</w:t>
      </w:r>
    </w:p>
    <w:tbl>
      <w:tblPr>
        <w:tblStyle w:val="TableGrid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29"/>
        <w:gridCol w:w="5287"/>
      </w:tblGrid>
      <w:tr w:rsidR="006A6111" w:rsidRPr="00BE2D71" w14:paraId="218943F6" w14:textId="77777777" w:rsidTr="004A677D">
        <w:tc>
          <w:tcPr>
            <w:tcW w:w="0" w:type="auto"/>
            <w:tcBorders>
              <w:bottom w:val="single" w:sz="4" w:space="0" w:color="auto"/>
            </w:tcBorders>
            <w:shd w:val="clear" w:color="auto" w:fill="003087" w:themeFill="accent1"/>
          </w:tcPr>
          <w:p w14:paraId="0C3A78B3" w14:textId="77777777" w:rsidR="00BE2D71" w:rsidRPr="00A321E7" w:rsidRDefault="00BE2D71" w:rsidP="00BE2D71">
            <w:pPr>
              <w:spacing w:before="120" w:after="240"/>
              <w:ind w:left="0"/>
              <w:rPr>
                <w:rFonts w:ascii="Arial" w:hAnsi="Arial" w:cs="Arial"/>
                <w:b/>
                <w:bCs/>
                <w:color w:val="F2F2F2" w:themeColor="background1" w:themeShade="F2"/>
                <w:sz w:val="22"/>
                <w:szCs w:val="24"/>
                <w:lang w:bidi="hi-IN"/>
              </w:rPr>
            </w:pPr>
            <w:r w:rsidRPr="00A321E7">
              <w:rPr>
                <w:rFonts w:ascii="Arial" w:hAnsi="Arial" w:cs="Arial"/>
                <w:b/>
                <w:bCs/>
                <w:color w:val="F2F2F2" w:themeColor="background1" w:themeShade="F2"/>
                <w:sz w:val="22"/>
                <w:szCs w:val="24"/>
                <w:lang w:bidi="hi-IN"/>
              </w:rPr>
              <w:t xml:space="preserve">Issue </w:t>
            </w:r>
          </w:p>
        </w:tc>
        <w:tc>
          <w:tcPr>
            <w:tcW w:w="0" w:type="auto"/>
            <w:tcBorders>
              <w:bottom w:val="single" w:sz="4" w:space="0" w:color="auto"/>
            </w:tcBorders>
            <w:shd w:val="clear" w:color="auto" w:fill="003087" w:themeFill="accent1"/>
          </w:tcPr>
          <w:p w14:paraId="3A351592" w14:textId="77777777" w:rsidR="00BE2D71" w:rsidRPr="00A321E7" w:rsidRDefault="00BE2D71" w:rsidP="00BE2D71">
            <w:pPr>
              <w:spacing w:before="120" w:after="240"/>
              <w:ind w:left="0"/>
              <w:rPr>
                <w:rFonts w:ascii="Arial" w:hAnsi="Arial" w:cs="Arial"/>
                <w:b/>
                <w:bCs/>
                <w:color w:val="F2F2F2" w:themeColor="background1" w:themeShade="F2"/>
                <w:sz w:val="22"/>
                <w:szCs w:val="24"/>
                <w:lang w:bidi="hi-IN"/>
              </w:rPr>
            </w:pPr>
            <w:r w:rsidRPr="00A321E7">
              <w:rPr>
                <w:rFonts w:ascii="Arial" w:hAnsi="Arial" w:cs="Arial"/>
                <w:b/>
                <w:bCs/>
                <w:color w:val="F2F2F2" w:themeColor="background1" w:themeShade="F2"/>
                <w:sz w:val="22"/>
                <w:szCs w:val="24"/>
                <w:lang w:bidi="hi-IN"/>
              </w:rPr>
              <w:t xml:space="preserve">Designation </w:t>
            </w:r>
          </w:p>
        </w:tc>
      </w:tr>
      <w:tr w:rsidR="006A6111" w:rsidRPr="00BE2D71" w14:paraId="72BD64BB" w14:textId="77777777" w:rsidTr="004A677D">
        <w:trPr>
          <w:trHeight w:val="695"/>
        </w:trPr>
        <w:tc>
          <w:tcPr>
            <w:tcW w:w="0" w:type="auto"/>
            <w:tcBorders>
              <w:top w:val="single" w:sz="4" w:space="0" w:color="auto"/>
              <w:left w:val="single" w:sz="4" w:space="0" w:color="auto"/>
              <w:bottom w:val="single" w:sz="4" w:space="0" w:color="auto"/>
              <w:right w:val="single" w:sz="4" w:space="0" w:color="auto"/>
            </w:tcBorders>
          </w:tcPr>
          <w:p w14:paraId="2A00E9B8"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 xml:space="preserve">Clinical Issues </w:t>
            </w:r>
          </w:p>
        </w:tc>
        <w:tc>
          <w:tcPr>
            <w:tcW w:w="0" w:type="auto"/>
            <w:tcBorders>
              <w:top w:val="single" w:sz="4" w:space="0" w:color="auto"/>
              <w:left w:val="single" w:sz="4" w:space="0" w:color="auto"/>
              <w:bottom w:val="single" w:sz="4" w:space="0" w:color="auto"/>
              <w:right w:val="single" w:sz="4" w:space="0" w:color="auto"/>
            </w:tcBorders>
          </w:tcPr>
          <w:p w14:paraId="0012F7E9" w14:textId="1910CEFD" w:rsidR="00BE2D71" w:rsidRPr="00BE2D71" w:rsidRDefault="000B7895" w:rsidP="00CD2FC3">
            <w:pPr>
              <w:spacing w:before="120" w:after="120"/>
              <w:ind w:left="0"/>
              <w:rPr>
                <w:rFonts w:ascii="Arial" w:hAnsi="Arial" w:cs="Arial"/>
                <w:color w:val="auto"/>
                <w:sz w:val="22"/>
                <w:szCs w:val="24"/>
                <w:lang w:bidi="hi-IN"/>
              </w:rPr>
            </w:pPr>
            <w:r>
              <w:rPr>
                <w:rFonts w:ascii="Arial" w:hAnsi="Arial" w:cs="Arial"/>
                <w:color w:val="auto"/>
                <w:sz w:val="22"/>
                <w:szCs w:val="24"/>
                <w:lang w:bidi="hi-IN"/>
              </w:rPr>
              <w:t>Chief Nurse</w:t>
            </w:r>
          </w:p>
        </w:tc>
      </w:tr>
      <w:tr w:rsidR="006A6111" w:rsidRPr="00BE2D71" w14:paraId="6B4FC8F7" w14:textId="77777777" w:rsidTr="004A677D">
        <w:tc>
          <w:tcPr>
            <w:tcW w:w="0" w:type="auto"/>
            <w:tcBorders>
              <w:top w:val="single" w:sz="4" w:space="0" w:color="auto"/>
              <w:left w:val="single" w:sz="4" w:space="0" w:color="auto"/>
              <w:bottom w:val="single" w:sz="4" w:space="0" w:color="auto"/>
              <w:right w:val="single" w:sz="4" w:space="0" w:color="auto"/>
            </w:tcBorders>
          </w:tcPr>
          <w:p w14:paraId="66CE57E3"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Clinical Service Contracts</w:t>
            </w:r>
          </w:p>
        </w:tc>
        <w:tc>
          <w:tcPr>
            <w:tcW w:w="0" w:type="auto"/>
            <w:tcBorders>
              <w:top w:val="single" w:sz="4" w:space="0" w:color="auto"/>
              <w:left w:val="single" w:sz="4" w:space="0" w:color="auto"/>
              <w:bottom w:val="single" w:sz="4" w:space="0" w:color="auto"/>
              <w:right w:val="single" w:sz="4" w:space="0" w:color="auto"/>
            </w:tcBorders>
          </w:tcPr>
          <w:p w14:paraId="150E93FB" w14:textId="64992E16" w:rsidR="00BE2D71" w:rsidRPr="00BE2D71" w:rsidRDefault="006A6111" w:rsidP="00CD2FC3">
            <w:pPr>
              <w:spacing w:before="120" w:after="120"/>
              <w:ind w:left="0"/>
              <w:rPr>
                <w:rFonts w:ascii="Arial" w:hAnsi="Arial" w:cs="Arial"/>
                <w:color w:val="auto"/>
                <w:sz w:val="22"/>
                <w:szCs w:val="24"/>
                <w:lang w:bidi="hi-IN"/>
              </w:rPr>
            </w:pPr>
            <w:r>
              <w:rPr>
                <w:rFonts w:ascii="Arial" w:hAnsi="Arial" w:cs="Arial"/>
                <w:color w:val="auto"/>
                <w:sz w:val="22"/>
                <w:szCs w:val="24"/>
                <w:lang w:bidi="hi-IN"/>
              </w:rPr>
              <w:t>Director of Resources</w:t>
            </w:r>
          </w:p>
        </w:tc>
      </w:tr>
      <w:tr w:rsidR="006A6111" w:rsidRPr="00BE2D71" w14:paraId="5A59DEAB" w14:textId="77777777" w:rsidTr="004A677D">
        <w:tc>
          <w:tcPr>
            <w:tcW w:w="0" w:type="auto"/>
            <w:tcBorders>
              <w:top w:val="single" w:sz="4" w:space="0" w:color="auto"/>
              <w:left w:val="single" w:sz="4" w:space="0" w:color="auto"/>
              <w:bottom w:val="single" w:sz="4" w:space="0" w:color="auto"/>
              <w:right w:val="single" w:sz="4" w:space="0" w:color="auto"/>
            </w:tcBorders>
          </w:tcPr>
          <w:p w14:paraId="6EDDA231"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 xml:space="preserve">Complaints / Claims / Potential Litigation </w:t>
            </w:r>
          </w:p>
        </w:tc>
        <w:tc>
          <w:tcPr>
            <w:tcW w:w="0" w:type="auto"/>
            <w:tcBorders>
              <w:top w:val="single" w:sz="4" w:space="0" w:color="auto"/>
              <w:left w:val="single" w:sz="4" w:space="0" w:color="auto"/>
              <w:bottom w:val="single" w:sz="4" w:space="0" w:color="auto"/>
              <w:right w:val="single" w:sz="4" w:space="0" w:color="auto"/>
            </w:tcBorders>
          </w:tcPr>
          <w:p w14:paraId="7C6218AF" w14:textId="4659A92B" w:rsidR="00BE2D71" w:rsidRPr="00BE2D71" w:rsidRDefault="000B7895" w:rsidP="00CD2FC3">
            <w:pPr>
              <w:spacing w:before="120" w:after="120"/>
              <w:ind w:left="0"/>
              <w:rPr>
                <w:rFonts w:ascii="Arial" w:hAnsi="Arial" w:cs="Arial"/>
                <w:color w:val="auto"/>
                <w:sz w:val="22"/>
                <w:szCs w:val="24"/>
                <w:lang w:bidi="hi-IN"/>
              </w:rPr>
            </w:pPr>
            <w:r>
              <w:rPr>
                <w:rFonts w:ascii="Arial" w:hAnsi="Arial" w:cs="Arial"/>
                <w:color w:val="auto"/>
                <w:sz w:val="22"/>
                <w:szCs w:val="24"/>
                <w:lang w:bidi="hi-IN"/>
              </w:rPr>
              <w:t>Chief of Staff / Chief Nurse</w:t>
            </w:r>
          </w:p>
        </w:tc>
      </w:tr>
      <w:tr w:rsidR="006A6111" w:rsidRPr="00BE2D71" w14:paraId="30D388C8" w14:textId="77777777" w:rsidTr="004A677D">
        <w:tc>
          <w:tcPr>
            <w:tcW w:w="0" w:type="auto"/>
            <w:tcBorders>
              <w:top w:val="single" w:sz="4" w:space="0" w:color="auto"/>
              <w:left w:val="single" w:sz="4" w:space="0" w:color="auto"/>
              <w:bottom w:val="single" w:sz="4" w:space="0" w:color="auto"/>
              <w:right w:val="single" w:sz="4" w:space="0" w:color="auto"/>
            </w:tcBorders>
          </w:tcPr>
          <w:p w14:paraId="44C031F1"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Health Records / Data Protection</w:t>
            </w:r>
          </w:p>
        </w:tc>
        <w:tc>
          <w:tcPr>
            <w:tcW w:w="0" w:type="auto"/>
            <w:tcBorders>
              <w:top w:val="single" w:sz="4" w:space="0" w:color="auto"/>
              <w:left w:val="single" w:sz="4" w:space="0" w:color="auto"/>
              <w:bottom w:val="single" w:sz="4" w:space="0" w:color="auto"/>
              <w:right w:val="single" w:sz="4" w:space="0" w:color="auto"/>
            </w:tcBorders>
          </w:tcPr>
          <w:p w14:paraId="1C48D301" w14:textId="78BBAA63" w:rsidR="00BE2D71" w:rsidRPr="00BE2D71" w:rsidRDefault="00BE2D71" w:rsidP="00CD2FC3">
            <w:pPr>
              <w:spacing w:before="120" w:after="120"/>
              <w:ind w:left="0"/>
              <w:rPr>
                <w:rFonts w:ascii="Arial" w:hAnsi="Arial" w:cs="Arial"/>
                <w:color w:val="auto"/>
                <w:sz w:val="22"/>
                <w:szCs w:val="24"/>
                <w:lang w:bidi="hi-IN"/>
              </w:rPr>
            </w:pPr>
            <w:r w:rsidRPr="00BE2D71">
              <w:rPr>
                <w:rFonts w:ascii="Arial" w:hAnsi="Arial" w:cs="Arial"/>
                <w:color w:val="auto"/>
                <w:sz w:val="22"/>
                <w:szCs w:val="24"/>
                <w:lang w:bidi="hi-IN"/>
              </w:rPr>
              <w:t xml:space="preserve">Head of Information Governance </w:t>
            </w:r>
          </w:p>
        </w:tc>
      </w:tr>
      <w:tr w:rsidR="006A6111" w:rsidRPr="00BE2D71" w14:paraId="02D02C58" w14:textId="77777777" w:rsidTr="004A677D">
        <w:tc>
          <w:tcPr>
            <w:tcW w:w="0" w:type="auto"/>
            <w:tcBorders>
              <w:top w:val="single" w:sz="4" w:space="0" w:color="auto"/>
              <w:left w:val="single" w:sz="4" w:space="0" w:color="auto"/>
              <w:bottom w:val="single" w:sz="4" w:space="0" w:color="auto"/>
              <w:right w:val="single" w:sz="4" w:space="0" w:color="auto"/>
            </w:tcBorders>
          </w:tcPr>
          <w:p w14:paraId="3E333C12"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Corporate Governance / Constitutional / Compliance Issues</w:t>
            </w:r>
          </w:p>
        </w:tc>
        <w:tc>
          <w:tcPr>
            <w:tcW w:w="0" w:type="auto"/>
            <w:tcBorders>
              <w:top w:val="single" w:sz="4" w:space="0" w:color="auto"/>
              <w:left w:val="single" w:sz="4" w:space="0" w:color="auto"/>
              <w:bottom w:val="single" w:sz="4" w:space="0" w:color="auto"/>
              <w:right w:val="single" w:sz="4" w:space="0" w:color="auto"/>
            </w:tcBorders>
          </w:tcPr>
          <w:p w14:paraId="4E944918" w14:textId="3FE52EA1" w:rsidR="00BE2D71" w:rsidRPr="00BE2D71" w:rsidRDefault="006A6111" w:rsidP="00CD2FC3">
            <w:pPr>
              <w:spacing w:before="120" w:after="120"/>
              <w:ind w:left="0"/>
              <w:rPr>
                <w:rFonts w:ascii="Arial" w:hAnsi="Arial" w:cs="Arial"/>
                <w:color w:val="auto"/>
                <w:sz w:val="22"/>
                <w:szCs w:val="24"/>
                <w:lang w:bidi="hi-IN"/>
              </w:rPr>
            </w:pPr>
            <w:r>
              <w:rPr>
                <w:rFonts w:ascii="Arial" w:hAnsi="Arial" w:cs="Arial"/>
                <w:color w:val="auto"/>
                <w:sz w:val="22"/>
                <w:szCs w:val="24"/>
                <w:lang w:bidi="hi-IN"/>
              </w:rPr>
              <w:t xml:space="preserve">Chief of Staff/ Governance </w:t>
            </w:r>
            <w:r w:rsidR="000B7895">
              <w:rPr>
                <w:rFonts w:ascii="Arial" w:hAnsi="Arial" w:cs="Arial"/>
                <w:color w:val="auto"/>
                <w:sz w:val="22"/>
                <w:szCs w:val="24"/>
                <w:lang w:bidi="hi-IN"/>
              </w:rPr>
              <w:t>team</w:t>
            </w:r>
            <w:r>
              <w:rPr>
                <w:rFonts w:ascii="Arial" w:hAnsi="Arial" w:cs="Arial"/>
                <w:color w:val="auto"/>
                <w:sz w:val="22"/>
                <w:szCs w:val="24"/>
                <w:lang w:bidi="hi-IN"/>
              </w:rPr>
              <w:t xml:space="preserve"> </w:t>
            </w:r>
          </w:p>
          <w:p w14:paraId="29C4ED4B" w14:textId="1955734C" w:rsidR="00BE2D71" w:rsidRPr="00BE2D71" w:rsidRDefault="00BE2D71" w:rsidP="00CD2FC3">
            <w:pPr>
              <w:spacing w:before="120" w:after="120"/>
              <w:ind w:left="0"/>
              <w:rPr>
                <w:rFonts w:ascii="Arial" w:hAnsi="Arial" w:cs="Arial"/>
                <w:color w:val="auto"/>
                <w:sz w:val="22"/>
                <w:szCs w:val="24"/>
                <w:lang w:bidi="hi-IN"/>
              </w:rPr>
            </w:pPr>
          </w:p>
        </w:tc>
      </w:tr>
      <w:tr w:rsidR="006A6111" w:rsidRPr="00BE2D71" w14:paraId="0F09C8E3" w14:textId="77777777" w:rsidTr="004A677D">
        <w:tc>
          <w:tcPr>
            <w:tcW w:w="0" w:type="auto"/>
            <w:tcBorders>
              <w:top w:val="single" w:sz="4" w:space="0" w:color="auto"/>
              <w:left w:val="single" w:sz="4" w:space="0" w:color="auto"/>
              <w:bottom w:val="single" w:sz="4" w:space="0" w:color="auto"/>
              <w:right w:val="single" w:sz="4" w:space="0" w:color="auto"/>
            </w:tcBorders>
          </w:tcPr>
          <w:p w14:paraId="0741D422"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Freedom of Information</w:t>
            </w:r>
          </w:p>
        </w:tc>
        <w:tc>
          <w:tcPr>
            <w:tcW w:w="0" w:type="auto"/>
            <w:tcBorders>
              <w:top w:val="single" w:sz="4" w:space="0" w:color="auto"/>
              <w:left w:val="single" w:sz="4" w:space="0" w:color="auto"/>
              <w:bottom w:val="single" w:sz="4" w:space="0" w:color="auto"/>
              <w:right w:val="single" w:sz="4" w:space="0" w:color="auto"/>
            </w:tcBorders>
          </w:tcPr>
          <w:p w14:paraId="0373DD9F" w14:textId="241A5F8E" w:rsidR="00BE2D71" w:rsidRPr="00BE2D71" w:rsidRDefault="00BE2D71" w:rsidP="00CD2FC3">
            <w:pPr>
              <w:spacing w:before="120" w:after="120"/>
              <w:ind w:left="0"/>
              <w:rPr>
                <w:rFonts w:ascii="Arial" w:hAnsi="Arial" w:cs="Arial"/>
                <w:color w:val="auto"/>
                <w:sz w:val="22"/>
                <w:szCs w:val="24"/>
                <w:lang w:bidi="hi-IN"/>
              </w:rPr>
            </w:pPr>
            <w:r w:rsidRPr="00BE2D71">
              <w:rPr>
                <w:rFonts w:ascii="Arial" w:hAnsi="Arial" w:cs="Arial"/>
                <w:color w:val="auto"/>
                <w:sz w:val="22"/>
                <w:szCs w:val="24"/>
                <w:lang w:bidi="hi-IN"/>
              </w:rPr>
              <w:t xml:space="preserve">Head of Information Governance/ </w:t>
            </w:r>
            <w:r w:rsidR="006A6111">
              <w:rPr>
                <w:rFonts w:ascii="Arial" w:hAnsi="Arial" w:cs="Arial"/>
                <w:color w:val="auto"/>
                <w:sz w:val="22"/>
                <w:szCs w:val="24"/>
                <w:lang w:bidi="hi-IN"/>
              </w:rPr>
              <w:t xml:space="preserve">Chief of Staff/ Governance </w:t>
            </w:r>
            <w:r w:rsidR="000B7895">
              <w:rPr>
                <w:rFonts w:ascii="Arial" w:hAnsi="Arial" w:cs="Arial"/>
                <w:color w:val="auto"/>
                <w:sz w:val="22"/>
                <w:szCs w:val="24"/>
                <w:lang w:bidi="hi-IN"/>
              </w:rPr>
              <w:t>team</w:t>
            </w:r>
          </w:p>
        </w:tc>
      </w:tr>
      <w:tr w:rsidR="006A6111" w:rsidRPr="00BE2D71" w14:paraId="36B512E1" w14:textId="77777777" w:rsidTr="004A677D">
        <w:tc>
          <w:tcPr>
            <w:tcW w:w="0" w:type="auto"/>
            <w:tcBorders>
              <w:top w:val="single" w:sz="4" w:space="0" w:color="auto"/>
              <w:left w:val="single" w:sz="4" w:space="0" w:color="auto"/>
              <w:bottom w:val="single" w:sz="4" w:space="0" w:color="auto"/>
              <w:right w:val="single" w:sz="4" w:space="0" w:color="auto"/>
            </w:tcBorders>
          </w:tcPr>
          <w:p w14:paraId="056C7687"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 xml:space="preserve">Employee / Public Liability </w:t>
            </w:r>
          </w:p>
        </w:tc>
        <w:tc>
          <w:tcPr>
            <w:tcW w:w="0" w:type="auto"/>
            <w:tcBorders>
              <w:top w:val="single" w:sz="4" w:space="0" w:color="auto"/>
              <w:left w:val="single" w:sz="4" w:space="0" w:color="auto"/>
              <w:bottom w:val="single" w:sz="4" w:space="0" w:color="auto"/>
              <w:right w:val="single" w:sz="4" w:space="0" w:color="auto"/>
            </w:tcBorders>
          </w:tcPr>
          <w:p w14:paraId="2D0BBF42" w14:textId="54C93FC0" w:rsidR="00BE2D71" w:rsidRPr="00BE2D71" w:rsidRDefault="000B7895" w:rsidP="00CD2FC3">
            <w:pPr>
              <w:spacing w:before="120" w:after="120"/>
              <w:ind w:left="0"/>
              <w:rPr>
                <w:rFonts w:ascii="Arial" w:hAnsi="Arial" w:cs="Arial"/>
                <w:color w:val="auto"/>
                <w:sz w:val="22"/>
                <w:szCs w:val="24"/>
                <w:lang w:bidi="hi-IN"/>
              </w:rPr>
            </w:pPr>
            <w:r w:rsidRPr="000B7895">
              <w:rPr>
                <w:rFonts w:ascii="Arial" w:hAnsi="Arial" w:cs="Arial"/>
                <w:color w:val="auto"/>
                <w:sz w:val="22"/>
                <w:szCs w:val="24"/>
                <w:lang w:bidi="hi-IN"/>
              </w:rPr>
              <w:t>Chief of Staff</w:t>
            </w:r>
            <w:r>
              <w:rPr>
                <w:rFonts w:ascii="Arial" w:hAnsi="Arial" w:cs="Arial"/>
                <w:color w:val="auto"/>
                <w:sz w:val="22"/>
                <w:szCs w:val="24"/>
                <w:lang w:bidi="hi-IN"/>
              </w:rPr>
              <w:t xml:space="preserve"> </w:t>
            </w:r>
            <w:r w:rsidRPr="000B7895">
              <w:rPr>
                <w:rFonts w:ascii="Arial" w:hAnsi="Arial" w:cs="Arial"/>
                <w:color w:val="auto"/>
                <w:sz w:val="22"/>
                <w:szCs w:val="24"/>
                <w:lang w:bidi="hi-IN"/>
              </w:rPr>
              <w:t>/ Governance team</w:t>
            </w:r>
          </w:p>
        </w:tc>
      </w:tr>
      <w:tr w:rsidR="006A6111" w:rsidRPr="00BE2D71" w14:paraId="363B43DC" w14:textId="77777777" w:rsidTr="004A677D">
        <w:tc>
          <w:tcPr>
            <w:tcW w:w="0" w:type="auto"/>
            <w:tcBorders>
              <w:top w:val="single" w:sz="4" w:space="0" w:color="auto"/>
              <w:left w:val="single" w:sz="4" w:space="0" w:color="auto"/>
              <w:bottom w:val="single" w:sz="4" w:space="0" w:color="auto"/>
              <w:right w:val="single" w:sz="4" w:space="0" w:color="auto"/>
            </w:tcBorders>
          </w:tcPr>
          <w:p w14:paraId="742BB5D7"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 xml:space="preserve">Human Resources </w:t>
            </w:r>
          </w:p>
        </w:tc>
        <w:tc>
          <w:tcPr>
            <w:tcW w:w="0" w:type="auto"/>
            <w:tcBorders>
              <w:top w:val="single" w:sz="4" w:space="0" w:color="auto"/>
              <w:left w:val="single" w:sz="4" w:space="0" w:color="auto"/>
              <w:bottom w:val="single" w:sz="4" w:space="0" w:color="auto"/>
              <w:right w:val="single" w:sz="4" w:space="0" w:color="auto"/>
            </w:tcBorders>
          </w:tcPr>
          <w:p w14:paraId="4BEBF5A3" w14:textId="5E9C278A" w:rsidR="00BE2D71" w:rsidRPr="00BE2D71" w:rsidRDefault="00BE2D71" w:rsidP="00CD2FC3">
            <w:pPr>
              <w:spacing w:before="120" w:after="120"/>
              <w:ind w:left="0"/>
              <w:rPr>
                <w:rFonts w:ascii="Arial" w:hAnsi="Arial" w:cs="Arial"/>
                <w:color w:val="auto"/>
                <w:sz w:val="22"/>
                <w:szCs w:val="24"/>
                <w:lang w:bidi="hi-IN"/>
              </w:rPr>
            </w:pPr>
            <w:r w:rsidRPr="00BE2D71">
              <w:rPr>
                <w:rFonts w:ascii="Arial" w:hAnsi="Arial" w:cs="Arial"/>
                <w:color w:val="auto"/>
                <w:sz w:val="22"/>
                <w:szCs w:val="24"/>
                <w:lang w:bidi="hi-IN"/>
              </w:rPr>
              <w:t xml:space="preserve">Human Resources </w:t>
            </w:r>
            <w:r w:rsidR="000B7895">
              <w:rPr>
                <w:rFonts w:ascii="Arial" w:hAnsi="Arial" w:cs="Arial"/>
                <w:color w:val="auto"/>
                <w:sz w:val="22"/>
                <w:szCs w:val="24"/>
                <w:lang w:bidi="hi-IN"/>
              </w:rPr>
              <w:t>t</w:t>
            </w:r>
            <w:r w:rsidRPr="00BE2D71">
              <w:rPr>
                <w:rFonts w:ascii="Arial" w:hAnsi="Arial" w:cs="Arial"/>
                <w:color w:val="auto"/>
                <w:sz w:val="22"/>
                <w:szCs w:val="24"/>
                <w:lang w:bidi="hi-IN"/>
              </w:rPr>
              <w:t>eam</w:t>
            </w:r>
          </w:p>
        </w:tc>
      </w:tr>
      <w:tr w:rsidR="006A6111" w:rsidRPr="00BE2D71" w14:paraId="08790886" w14:textId="77777777" w:rsidTr="004A677D">
        <w:tc>
          <w:tcPr>
            <w:tcW w:w="0" w:type="auto"/>
            <w:tcBorders>
              <w:top w:val="single" w:sz="4" w:space="0" w:color="auto"/>
              <w:left w:val="single" w:sz="4" w:space="0" w:color="auto"/>
              <w:bottom w:val="single" w:sz="4" w:space="0" w:color="auto"/>
              <w:right w:val="single" w:sz="4" w:space="0" w:color="auto"/>
            </w:tcBorders>
          </w:tcPr>
          <w:p w14:paraId="1AA71A01"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Mental Health Act Issues</w:t>
            </w:r>
          </w:p>
        </w:tc>
        <w:tc>
          <w:tcPr>
            <w:tcW w:w="0" w:type="auto"/>
            <w:tcBorders>
              <w:top w:val="single" w:sz="4" w:space="0" w:color="auto"/>
              <w:left w:val="single" w:sz="4" w:space="0" w:color="auto"/>
              <w:bottom w:val="single" w:sz="4" w:space="0" w:color="auto"/>
              <w:right w:val="single" w:sz="4" w:space="0" w:color="auto"/>
            </w:tcBorders>
          </w:tcPr>
          <w:p w14:paraId="179D4BFE" w14:textId="4D72EBC0" w:rsidR="00BE2D71" w:rsidRPr="00BE2D71" w:rsidRDefault="000B7895" w:rsidP="00CD2FC3">
            <w:pPr>
              <w:spacing w:before="120" w:after="120"/>
              <w:ind w:left="0"/>
              <w:rPr>
                <w:rFonts w:ascii="Arial" w:hAnsi="Arial" w:cs="Arial"/>
                <w:color w:val="auto"/>
                <w:sz w:val="22"/>
                <w:szCs w:val="24"/>
                <w:lang w:bidi="hi-IN"/>
              </w:rPr>
            </w:pPr>
            <w:r>
              <w:rPr>
                <w:rFonts w:ascii="Arial" w:hAnsi="Arial" w:cs="Arial"/>
                <w:color w:val="auto"/>
                <w:sz w:val="22"/>
                <w:szCs w:val="24"/>
                <w:lang w:bidi="hi-IN"/>
              </w:rPr>
              <w:t>Chief Nurse / Quality team</w:t>
            </w:r>
          </w:p>
        </w:tc>
      </w:tr>
      <w:tr w:rsidR="006A6111" w:rsidRPr="00BE2D71" w14:paraId="4CE468F6" w14:textId="77777777" w:rsidTr="004A677D">
        <w:tc>
          <w:tcPr>
            <w:tcW w:w="0" w:type="auto"/>
            <w:tcBorders>
              <w:top w:val="single" w:sz="4" w:space="0" w:color="auto"/>
              <w:left w:val="single" w:sz="4" w:space="0" w:color="auto"/>
              <w:bottom w:val="single" w:sz="4" w:space="0" w:color="auto"/>
              <w:right w:val="single" w:sz="4" w:space="0" w:color="auto"/>
            </w:tcBorders>
          </w:tcPr>
          <w:p w14:paraId="2648A777"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Safeguarding Issues</w:t>
            </w:r>
          </w:p>
        </w:tc>
        <w:tc>
          <w:tcPr>
            <w:tcW w:w="0" w:type="auto"/>
            <w:tcBorders>
              <w:top w:val="single" w:sz="4" w:space="0" w:color="auto"/>
              <w:left w:val="single" w:sz="4" w:space="0" w:color="auto"/>
              <w:bottom w:val="single" w:sz="4" w:space="0" w:color="auto"/>
              <w:right w:val="single" w:sz="4" w:space="0" w:color="auto"/>
            </w:tcBorders>
          </w:tcPr>
          <w:p w14:paraId="4C4D4F34" w14:textId="23E4977B" w:rsidR="00BE2D71" w:rsidRPr="00BE2D71" w:rsidRDefault="000B7895" w:rsidP="00CD2FC3">
            <w:pPr>
              <w:spacing w:before="120" w:after="120"/>
              <w:ind w:left="0"/>
              <w:rPr>
                <w:rFonts w:ascii="Arial" w:hAnsi="Arial" w:cs="Arial"/>
                <w:color w:val="auto"/>
                <w:sz w:val="22"/>
                <w:szCs w:val="24"/>
                <w:lang w:bidi="hi-IN"/>
              </w:rPr>
            </w:pPr>
            <w:r>
              <w:rPr>
                <w:rFonts w:ascii="Arial" w:hAnsi="Arial" w:cs="Arial"/>
                <w:color w:val="auto"/>
                <w:sz w:val="22"/>
                <w:szCs w:val="24"/>
                <w:lang w:bidi="hi-IN"/>
              </w:rPr>
              <w:t>Chief Nurse</w:t>
            </w:r>
            <w:r w:rsidR="006A6111">
              <w:rPr>
                <w:rFonts w:ascii="Arial" w:hAnsi="Arial" w:cs="Arial"/>
                <w:color w:val="auto"/>
                <w:sz w:val="22"/>
                <w:szCs w:val="24"/>
                <w:lang w:bidi="hi-IN"/>
              </w:rPr>
              <w:t xml:space="preserve"> </w:t>
            </w:r>
            <w:r>
              <w:rPr>
                <w:rFonts w:ascii="Arial" w:hAnsi="Arial" w:cs="Arial"/>
                <w:color w:val="auto"/>
                <w:sz w:val="22"/>
                <w:szCs w:val="24"/>
                <w:lang w:bidi="hi-IN"/>
              </w:rPr>
              <w:t>/</w:t>
            </w:r>
            <w:r w:rsidR="00BE2D71" w:rsidRPr="00BE2D71">
              <w:rPr>
                <w:rFonts w:ascii="Arial" w:hAnsi="Arial" w:cs="Arial"/>
                <w:color w:val="auto"/>
                <w:sz w:val="22"/>
                <w:szCs w:val="24"/>
                <w:lang w:bidi="hi-IN"/>
              </w:rPr>
              <w:t xml:space="preserve"> Adult</w:t>
            </w:r>
            <w:r>
              <w:rPr>
                <w:rFonts w:ascii="Arial" w:hAnsi="Arial" w:cs="Arial"/>
                <w:color w:val="auto"/>
                <w:sz w:val="22"/>
                <w:szCs w:val="24"/>
                <w:lang w:bidi="hi-IN"/>
              </w:rPr>
              <w:t>s and</w:t>
            </w:r>
            <w:r w:rsidR="00BE2D71" w:rsidRPr="00BE2D71">
              <w:rPr>
                <w:rFonts w:ascii="Arial" w:hAnsi="Arial" w:cs="Arial"/>
                <w:color w:val="auto"/>
                <w:sz w:val="22"/>
                <w:szCs w:val="24"/>
                <w:lang w:bidi="hi-IN"/>
              </w:rPr>
              <w:t xml:space="preserve"> Children Safeguarding Leads </w:t>
            </w:r>
          </w:p>
        </w:tc>
      </w:tr>
      <w:tr w:rsidR="006A6111" w:rsidRPr="00BE2D71" w14:paraId="44DE18F7" w14:textId="77777777" w:rsidTr="004A677D">
        <w:tc>
          <w:tcPr>
            <w:tcW w:w="0" w:type="auto"/>
            <w:tcBorders>
              <w:top w:val="single" w:sz="4" w:space="0" w:color="auto"/>
              <w:left w:val="single" w:sz="4" w:space="0" w:color="auto"/>
              <w:bottom w:val="single" w:sz="4" w:space="0" w:color="auto"/>
              <w:right w:val="single" w:sz="4" w:space="0" w:color="auto"/>
            </w:tcBorders>
          </w:tcPr>
          <w:p w14:paraId="719B94DC"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 xml:space="preserve">Patient Information &amp; Confidentiality </w:t>
            </w:r>
          </w:p>
        </w:tc>
        <w:tc>
          <w:tcPr>
            <w:tcW w:w="0" w:type="auto"/>
            <w:tcBorders>
              <w:top w:val="single" w:sz="4" w:space="0" w:color="auto"/>
              <w:left w:val="single" w:sz="4" w:space="0" w:color="auto"/>
              <w:bottom w:val="single" w:sz="4" w:space="0" w:color="auto"/>
              <w:right w:val="single" w:sz="4" w:space="0" w:color="auto"/>
            </w:tcBorders>
          </w:tcPr>
          <w:p w14:paraId="78AAA08C" w14:textId="3DF89133" w:rsidR="00BE2D71" w:rsidRPr="00BE2D71" w:rsidRDefault="006A6111" w:rsidP="00CD2FC3">
            <w:pPr>
              <w:spacing w:before="120" w:after="120"/>
              <w:ind w:left="0"/>
              <w:rPr>
                <w:rFonts w:ascii="Arial" w:hAnsi="Arial" w:cs="Arial"/>
                <w:color w:val="auto"/>
                <w:sz w:val="22"/>
                <w:szCs w:val="24"/>
                <w:lang w:bidi="hi-IN"/>
              </w:rPr>
            </w:pPr>
            <w:r w:rsidRPr="00BE2D71">
              <w:rPr>
                <w:rFonts w:ascii="Arial" w:hAnsi="Arial" w:cs="Arial"/>
                <w:color w:val="auto"/>
                <w:sz w:val="22"/>
                <w:szCs w:val="24"/>
                <w:lang w:bidi="hi-IN"/>
              </w:rPr>
              <w:t xml:space="preserve">Head of Information Governance </w:t>
            </w:r>
            <w:r w:rsidR="000B7895">
              <w:rPr>
                <w:rFonts w:ascii="Arial" w:hAnsi="Arial" w:cs="Arial"/>
                <w:color w:val="auto"/>
                <w:sz w:val="22"/>
                <w:szCs w:val="24"/>
                <w:lang w:bidi="hi-IN"/>
              </w:rPr>
              <w:t xml:space="preserve">/ Chief Nurse </w:t>
            </w:r>
            <w:r w:rsidR="00BE2D71" w:rsidRPr="00BE2D71">
              <w:rPr>
                <w:rFonts w:ascii="Arial" w:hAnsi="Arial" w:cs="Arial"/>
                <w:color w:val="auto"/>
                <w:sz w:val="22"/>
                <w:szCs w:val="24"/>
                <w:lang w:bidi="hi-IN"/>
              </w:rPr>
              <w:t xml:space="preserve">(as Caldicott Guardian) / </w:t>
            </w:r>
            <w:r>
              <w:rPr>
                <w:rFonts w:ascii="Arial" w:hAnsi="Arial" w:cs="Arial"/>
                <w:color w:val="auto"/>
                <w:sz w:val="22"/>
                <w:szCs w:val="24"/>
                <w:lang w:bidi="hi-IN"/>
              </w:rPr>
              <w:t xml:space="preserve">Director of Resources </w:t>
            </w:r>
            <w:r w:rsidR="00BE2D71" w:rsidRPr="00BE2D71">
              <w:rPr>
                <w:rFonts w:ascii="Arial" w:hAnsi="Arial" w:cs="Arial"/>
                <w:color w:val="auto"/>
                <w:sz w:val="22"/>
                <w:szCs w:val="24"/>
                <w:lang w:bidi="hi-IN"/>
              </w:rPr>
              <w:t>(as SIRO)</w:t>
            </w:r>
          </w:p>
        </w:tc>
      </w:tr>
      <w:tr w:rsidR="006A6111" w:rsidRPr="00BE2D71" w14:paraId="53C5E720" w14:textId="77777777" w:rsidTr="004A677D">
        <w:tc>
          <w:tcPr>
            <w:tcW w:w="0" w:type="auto"/>
            <w:tcBorders>
              <w:top w:val="single" w:sz="4" w:space="0" w:color="auto"/>
              <w:left w:val="single" w:sz="4" w:space="0" w:color="auto"/>
              <w:bottom w:val="single" w:sz="4" w:space="0" w:color="auto"/>
              <w:right w:val="single" w:sz="4" w:space="0" w:color="auto"/>
            </w:tcBorders>
          </w:tcPr>
          <w:p w14:paraId="17708A2F" w14:textId="77777777" w:rsidR="00BE2D71" w:rsidRPr="004A677D" w:rsidRDefault="00BE2D71" w:rsidP="00CD2FC3">
            <w:pPr>
              <w:spacing w:before="120" w:after="120"/>
              <w:ind w:left="0"/>
              <w:rPr>
                <w:rFonts w:ascii="Arial" w:hAnsi="Arial" w:cs="Arial"/>
                <w:b/>
                <w:bCs/>
                <w:color w:val="auto"/>
                <w:sz w:val="22"/>
                <w:szCs w:val="24"/>
                <w:lang w:bidi="hi-IN"/>
              </w:rPr>
            </w:pPr>
            <w:r w:rsidRPr="004A677D">
              <w:rPr>
                <w:rFonts w:ascii="Arial" w:hAnsi="Arial" w:cs="Arial"/>
                <w:b/>
                <w:bCs/>
                <w:color w:val="auto"/>
                <w:sz w:val="22"/>
                <w:szCs w:val="24"/>
                <w:lang w:bidi="hi-IN"/>
              </w:rPr>
              <w:t>Property</w:t>
            </w:r>
          </w:p>
        </w:tc>
        <w:tc>
          <w:tcPr>
            <w:tcW w:w="0" w:type="auto"/>
            <w:tcBorders>
              <w:top w:val="single" w:sz="4" w:space="0" w:color="auto"/>
              <w:left w:val="single" w:sz="4" w:space="0" w:color="auto"/>
              <w:bottom w:val="single" w:sz="4" w:space="0" w:color="auto"/>
              <w:right w:val="single" w:sz="4" w:space="0" w:color="auto"/>
            </w:tcBorders>
          </w:tcPr>
          <w:p w14:paraId="5371E75E" w14:textId="5B12A019" w:rsidR="00BE2D71" w:rsidRPr="00BE2D71" w:rsidRDefault="00BE2D71" w:rsidP="00CD2FC3">
            <w:pPr>
              <w:spacing w:before="120" w:after="120"/>
              <w:ind w:left="0"/>
              <w:rPr>
                <w:rFonts w:ascii="Arial" w:hAnsi="Arial" w:cs="Arial"/>
                <w:color w:val="auto"/>
                <w:sz w:val="22"/>
                <w:szCs w:val="24"/>
                <w:lang w:bidi="hi-IN"/>
              </w:rPr>
            </w:pPr>
            <w:r w:rsidRPr="00BE2D71">
              <w:rPr>
                <w:rFonts w:ascii="Arial" w:hAnsi="Arial" w:cs="Arial"/>
                <w:color w:val="auto"/>
                <w:sz w:val="22"/>
                <w:szCs w:val="24"/>
                <w:lang w:bidi="hi-IN"/>
              </w:rPr>
              <w:t>NHS Property Services</w:t>
            </w:r>
            <w:r w:rsidR="000B7895">
              <w:rPr>
                <w:rFonts w:ascii="Arial" w:hAnsi="Arial" w:cs="Arial"/>
                <w:color w:val="auto"/>
                <w:sz w:val="22"/>
                <w:szCs w:val="24"/>
                <w:lang w:bidi="hi-IN"/>
              </w:rPr>
              <w:t xml:space="preserve"> /</w:t>
            </w:r>
            <w:r w:rsidR="006A6111">
              <w:rPr>
                <w:rFonts w:ascii="Arial" w:hAnsi="Arial" w:cs="Arial"/>
                <w:color w:val="auto"/>
                <w:sz w:val="22"/>
                <w:szCs w:val="24"/>
                <w:lang w:bidi="hi-IN"/>
              </w:rPr>
              <w:t xml:space="preserve"> Director of Estates</w:t>
            </w:r>
          </w:p>
        </w:tc>
      </w:tr>
    </w:tbl>
    <w:p w14:paraId="308FB403" w14:textId="0A48455C" w:rsidR="00F45713" w:rsidRDefault="00F45713">
      <w:pPr>
        <w:spacing w:before="0" w:after="0"/>
        <w:ind w:left="0"/>
      </w:pPr>
    </w:p>
    <w:p w14:paraId="7F6EA4FA" w14:textId="5678433E" w:rsidR="00A321E7" w:rsidRPr="00A321E7" w:rsidRDefault="00F45713" w:rsidP="000B7895">
      <w:pPr>
        <w:ind w:left="0"/>
        <w:rPr>
          <w:b/>
          <w:bCs/>
        </w:rPr>
      </w:pPr>
      <w:r w:rsidRPr="00A321E7">
        <w:rPr>
          <w:b/>
          <w:bCs/>
        </w:rPr>
        <w:t xml:space="preserve">Crown Commercial Service </w:t>
      </w:r>
      <w:r w:rsidR="00A321E7" w:rsidRPr="00A321E7">
        <w:rPr>
          <w:b/>
          <w:bCs/>
        </w:rPr>
        <w:t>Legal services for the wider public sector</w:t>
      </w:r>
    </w:p>
    <w:p w14:paraId="5F8E1EC1" w14:textId="0CD0CBAD" w:rsidR="00F45713" w:rsidRDefault="00F45713" w:rsidP="000B7895">
      <w:pPr>
        <w:ind w:left="0"/>
      </w:pPr>
      <w:r>
        <w:t xml:space="preserve">The ICB </w:t>
      </w:r>
      <w:r w:rsidRPr="00F45713">
        <w:t xml:space="preserve">does not have a legal services agreement with any particular firm.  Advice may therefore be sought from any provider on the Crown Commercial Service Legal </w:t>
      </w:r>
      <w:r w:rsidR="00A321E7">
        <w:t>s</w:t>
      </w:r>
      <w:r w:rsidRPr="00F45713">
        <w:t xml:space="preserve">ervices </w:t>
      </w:r>
      <w:r w:rsidR="00A321E7">
        <w:t>for the wider public sector f</w:t>
      </w:r>
      <w:r w:rsidRPr="00F45713">
        <w:t>ramework.</w:t>
      </w:r>
    </w:p>
    <w:p w14:paraId="2B1E5CEA" w14:textId="03806BA0" w:rsidR="00A321E7" w:rsidRDefault="00A321E7" w:rsidP="00A321E7">
      <w:pPr>
        <w:ind w:left="0"/>
      </w:pPr>
      <w:r w:rsidRPr="00F45713">
        <w:t>See</w:t>
      </w:r>
      <w:r w:rsidRPr="00A321E7">
        <w:t xml:space="preserve"> </w:t>
      </w:r>
      <w:hyperlink r:id="rId13" w:history="1">
        <w:r w:rsidRPr="009D76EF">
          <w:rPr>
            <w:rStyle w:val="Hyperlink"/>
          </w:rPr>
          <w:t>https://www.crowncommercial.gov.uk/agreements/RM3788</w:t>
        </w:r>
      </w:hyperlink>
      <w:r>
        <w:t xml:space="preserve"> </w:t>
      </w:r>
      <w:r w:rsidRPr="00F45713">
        <w:t>for more information.</w:t>
      </w:r>
    </w:p>
    <w:p w14:paraId="4787855F" w14:textId="65486186" w:rsidR="00F45713" w:rsidRDefault="00F45713" w:rsidP="000B7895">
      <w:pPr>
        <w:ind w:left="0"/>
      </w:pPr>
      <w:r w:rsidRPr="00F45713">
        <w:t xml:space="preserve">Use of any other legal services provider must be agreed in advance with the </w:t>
      </w:r>
      <w:r>
        <w:t>Chief of Staff/</w:t>
      </w:r>
      <w:r w:rsidR="00956891">
        <w:t xml:space="preserve">Deputy Director of Governance, or in their absence the Director of Resources, </w:t>
      </w:r>
      <w:r w:rsidRPr="00F45713">
        <w:t>and will be subject to the usual procurement requirements in the Standing Financial Instructions.</w:t>
      </w:r>
    </w:p>
    <w:p w14:paraId="6A9D1DD8" w14:textId="26B086BD" w:rsidR="00F45713" w:rsidRDefault="00F45713" w:rsidP="00956891">
      <w:pPr>
        <w:ind w:left="0"/>
      </w:pPr>
      <w:r w:rsidRPr="004A677D">
        <w:rPr>
          <w:b/>
          <w:bCs/>
        </w:rPr>
        <w:lastRenderedPageBreak/>
        <w:t>N.B</w:t>
      </w:r>
      <w:r w:rsidR="004A677D" w:rsidRPr="004A677D">
        <w:rPr>
          <w:b/>
          <w:bCs/>
        </w:rPr>
        <w:t>.</w:t>
      </w:r>
      <w:r w:rsidRPr="00F45713">
        <w:t xml:space="preserve"> Before seeking legal advice in respect of contractual and commercial disputes, it is recommended that support is sought from the Centre for Effective Dispute Resolution (CEDR). CEDR provide mediation, </w:t>
      </w:r>
      <w:proofErr w:type="gramStart"/>
      <w:r w:rsidRPr="00F45713">
        <w:t>adjudication</w:t>
      </w:r>
      <w:proofErr w:type="gramEnd"/>
      <w:r w:rsidRPr="00F45713">
        <w:t xml:space="preserve"> and arbitration services to healthcare and other sectors.</w:t>
      </w:r>
    </w:p>
    <w:p w14:paraId="2BEE2FC5" w14:textId="77777777" w:rsidR="004A677D" w:rsidRDefault="00F45713" w:rsidP="00956891">
      <w:pPr>
        <w:ind w:left="0"/>
      </w:pPr>
      <w:r w:rsidRPr="00F45713">
        <w:t xml:space="preserve">Tel: 020 7536 6000 </w:t>
      </w:r>
    </w:p>
    <w:p w14:paraId="4B535908" w14:textId="119986EF" w:rsidR="00DD4520" w:rsidRPr="00CD2FC3" w:rsidRDefault="00F45713" w:rsidP="00A321E7">
      <w:pPr>
        <w:ind w:left="0"/>
      </w:pPr>
      <w:r w:rsidRPr="00F45713">
        <w:t xml:space="preserve">Email: info@cedr.com   </w:t>
      </w:r>
    </w:p>
    <w:p w14:paraId="1F587D0D" w14:textId="30C3319E" w:rsidR="00F45713" w:rsidRPr="00F45713" w:rsidRDefault="00F45713" w:rsidP="00A321E7">
      <w:pPr>
        <w:ind w:left="0"/>
        <w:rPr>
          <w:b/>
          <w:bCs/>
        </w:rPr>
      </w:pPr>
      <w:r w:rsidRPr="00F45713">
        <w:rPr>
          <w:b/>
          <w:bCs/>
        </w:rPr>
        <w:t xml:space="preserve">NHS </w:t>
      </w:r>
      <w:r w:rsidR="004A677D">
        <w:rPr>
          <w:b/>
          <w:bCs/>
        </w:rPr>
        <w:t xml:space="preserve">Resolution Legal </w:t>
      </w:r>
      <w:r w:rsidRPr="00F45713">
        <w:rPr>
          <w:b/>
          <w:bCs/>
        </w:rPr>
        <w:t>Panel Solicitors</w:t>
      </w:r>
    </w:p>
    <w:p w14:paraId="1600D4BA" w14:textId="77777777" w:rsidR="004A677D" w:rsidRDefault="004A677D" w:rsidP="004A677D">
      <w:pPr>
        <w:pStyle w:val="ListParagraph"/>
        <w:ind w:left="426" w:hanging="284"/>
      </w:pPr>
      <w:r w:rsidRPr="004A677D">
        <w:t>Bevan Britta</w:t>
      </w:r>
      <w:r>
        <w:t>n</w:t>
      </w:r>
    </w:p>
    <w:p w14:paraId="41D28374" w14:textId="77777777" w:rsidR="004A677D" w:rsidRDefault="004A677D" w:rsidP="004A677D">
      <w:pPr>
        <w:pStyle w:val="ListParagraph"/>
        <w:ind w:left="426" w:hanging="284"/>
      </w:pPr>
      <w:r w:rsidRPr="004A677D">
        <w:t>Browne Jacobson</w:t>
      </w:r>
    </w:p>
    <w:p w14:paraId="59138167" w14:textId="77777777" w:rsidR="004A677D" w:rsidRDefault="004A677D" w:rsidP="004A677D">
      <w:pPr>
        <w:pStyle w:val="ListParagraph"/>
        <w:ind w:left="426" w:hanging="284"/>
      </w:pPr>
      <w:proofErr w:type="spellStart"/>
      <w:r w:rsidRPr="004A677D">
        <w:t>Capsticks</w:t>
      </w:r>
      <w:proofErr w:type="spellEnd"/>
    </w:p>
    <w:p w14:paraId="6C48B045" w14:textId="77777777" w:rsidR="004A677D" w:rsidRDefault="004A677D" w:rsidP="004A677D">
      <w:pPr>
        <w:pStyle w:val="ListParagraph"/>
        <w:ind w:left="426" w:hanging="284"/>
      </w:pPr>
      <w:r w:rsidRPr="004A677D">
        <w:t>Clyde and Co</w:t>
      </w:r>
    </w:p>
    <w:p w14:paraId="222C88C3" w14:textId="77777777" w:rsidR="004A677D" w:rsidRDefault="004A677D" w:rsidP="004A677D">
      <w:pPr>
        <w:pStyle w:val="ListParagraph"/>
        <w:ind w:left="426" w:hanging="284"/>
      </w:pPr>
      <w:r w:rsidRPr="004A677D">
        <w:t>DAC Beachcroft</w:t>
      </w:r>
    </w:p>
    <w:p w14:paraId="02BAB555" w14:textId="77777777" w:rsidR="004A677D" w:rsidRDefault="004A677D" w:rsidP="004A677D">
      <w:pPr>
        <w:pStyle w:val="ListParagraph"/>
        <w:ind w:left="426" w:hanging="284"/>
      </w:pPr>
      <w:r w:rsidRPr="004A677D">
        <w:t>DWF Law</w:t>
      </w:r>
    </w:p>
    <w:p w14:paraId="501ADA95" w14:textId="77777777" w:rsidR="004A677D" w:rsidRDefault="004A677D" w:rsidP="004A677D">
      <w:pPr>
        <w:pStyle w:val="ListParagraph"/>
        <w:ind w:left="426" w:hanging="284"/>
      </w:pPr>
      <w:proofErr w:type="spellStart"/>
      <w:r w:rsidRPr="004A677D">
        <w:t>Hempsons</w:t>
      </w:r>
      <w:proofErr w:type="spellEnd"/>
    </w:p>
    <w:p w14:paraId="387577A7" w14:textId="77777777" w:rsidR="004A677D" w:rsidRDefault="004A677D" w:rsidP="004A677D">
      <w:pPr>
        <w:pStyle w:val="ListParagraph"/>
        <w:ind w:left="426" w:hanging="284"/>
      </w:pPr>
      <w:r w:rsidRPr="004A677D">
        <w:t>Hill Dickinson</w:t>
      </w:r>
    </w:p>
    <w:p w14:paraId="4C6172CD" w14:textId="77777777" w:rsidR="004A677D" w:rsidRDefault="004A677D" w:rsidP="004A677D">
      <w:pPr>
        <w:pStyle w:val="ListParagraph"/>
        <w:ind w:left="426" w:hanging="284"/>
      </w:pPr>
      <w:r w:rsidRPr="004A677D">
        <w:t>Kennedys</w:t>
      </w:r>
    </w:p>
    <w:p w14:paraId="5314FE09" w14:textId="54EB037A" w:rsidR="004A677D" w:rsidRPr="006A6111" w:rsidRDefault="004A677D" w:rsidP="004A677D">
      <w:pPr>
        <w:pStyle w:val="ListParagraph"/>
        <w:ind w:left="426" w:hanging="284"/>
      </w:pPr>
      <w:proofErr w:type="spellStart"/>
      <w:r w:rsidRPr="004A677D">
        <w:t>Weightman</w:t>
      </w:r>
      <w:proofErr w:type="spellEnd"/>
    </w:p>
    <w:sectPr w:rsidR="004A677D" w:rsidRPr="006A6111" w:rsidSect="00A05288">
      <w:headerReference w:type="first" r:id="rId14"/>
      <w:footerReference w:type="first" r:id="rId15"/>
      <w:pgSz w:w="11906" w:h="16838"/>
      <w:pgMar w:top="1276" w:right="1440" w:bottom="1797" w:left="1440"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91A14" w14:textId="77777777" w:rsidR="00A05288" w:rsidRDefault="00A05288" w:rsidP="00EB783D">
      <w:pPr>
        <w:spacing w:before="0" w:after="0"/>
      </w:pPr>
      <w:r>
        <w:separator/>
      </w:r>
    </w:p>
  </w:endnote>
  <w:endnote w:type="continuationSeparator" w:id="0">
    <w:p w14:paraId="5D9B152E" w14:textId="77777777" w:rsidR="00A05288" w:rsidRDefault="00A05288"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407B" w14:textId="5C0A1894" w:rsidR="00A05288" w:rsidRPr="00A82083" w:rsidRDefault="00A05288" w:rsidP="00EB783D">
    <w:pPr>
      <w:pStyle w:val="Footer"/>
      <w:ind w:left="0"/>
    </w:pPr>
    <w:r>
      <w:t xml:space="preserve">Legal Services </w:t>
    </w:r>
    <w:r w:rsidRPr="00A82083">
      <w:t xml:space="preserve">Policy / </w:t>
    </w:r>
    <w:r>
      <w:t>V1.0</w:t>
    </w:r>
    <w:r w:rsidRPr="00A82083">
      <w:tab/>
    </w:r>
    <w:r>
      <w:tab/>
    </w:r>
    <w:r w:rsidRPr="00A82083">
      <w:t xml:space="preserve">Page </w:t>
    </w:r>
    <w:r w:rsidRPr="00A82083">
      <w:fldChar w:fldCharType="begin"/>
    </w:r>
    <w:r w:rsidRPr="00A82083">
      <w:instrText xml:space="preserve"> PAGE </w:instrText>
    </w:r>
    <w:r w:rsidRPr="00A82083">
      <w:fldChar w:fldCharType="separate"/>
    </w:r>
    <w:r w:rsidRPr="00A82083">
      <w:t>2</w:t>
    </w:r>
    <w:r w:rsidRPr="00A82083">
      <w:fldChar w:fldCharType="end"/>
    </w:r>
    <w:r w:rsidRPr="00A82083">
      <w:t xml:space="preserve"> of </w:t>
    </w:r>
    <w:fldSimple w:instr=" NUMPAGES ">
      <w:r w:rsidRPr="00A82083">
        <w:t>11</w:t>
      </w:r>
    </w:fldSimple>
  </w:p>
  <w:p w14:paraId="387B9B1B" w14:textId="77777777" w:rsidR="00A05288" w:rsidRDefault="00A0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FC1A" w14:textId="77777777" w:rsidR="00A05288" w:rsidRPr="00A82083" w:rsidRDefault="00A05288" w:rsidP="00A05288">
    <w:pPr>
      <w:pStyle w:val="Footer"/>
      <w:ind w:left="0"/>
    </w:pPr>
    <w:r>
      <w:t xml:space="preserve">Legal Services </w:t>
    </w:r>
    <w:r w:rsidRPr="00A82083">
      <w:t xml:space="preserve">Policy / </w:t>
    </w:r>
    <w:r>
      <w:t>V1.0</w:t>
    </w:r>
    <w:r w:rsidRPr="00A82083">
      <w:tab/>
    </w:r>
    <w:r>
      <w:tab/>
    </w:r>
    <w:r w:rsidRPr="00A82083">
      <w:t xml:space="preserve">Page </w:t>
    </w:r>
    <w:r w:rsidRPr="00A82083">
      <w:fldChar w:fldCharType="begin"/>
    </w:r>
    <w:r w:rsidRPr="00A82083">
      <w:instrText xml:space="preserve"> PAGE </w:instrText>
    </w:r>
    <w:r w:rsidRPr="00A82083">
      <w:fldChar w:fldCharType="separate"/>
    </w:r>
    <w:r>
      <w:t>1</w:t>
    </w:r>
    <w:r w:rsidRPr="00A82083">
      <w:fldChar w:fldCharType="end"/>
    </w:r>
    <w:r w:rsidRPr="00A82083">
      <w:t xml:space="preserve"> of </w:t>
    </w:r>
    <w:fldSimple w:instr=" NUMPAGES ">
      <w:r>
        <w:t>13</w:t>
      </w:r>
    </w:fldSimple>
  </w:p>
  <w:p w14:paraId="41623927" w14:textId="77777777" w:rsidR="00A05288" w:rsidRDefault="00A0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673BB" w14:textId="77777777" w:rsidR="00A05288" w:rsidRDefault="00A05288" w:rsidP="00EB783D">
      <w:pPr>
        <w:spacing w:before="0" w:after="0"/>
      </w:pPr>
      <w:r>
        <w:separator/>
      </w:r>
    </w:p>
  </w:footnote>
  <w:footnote w:type="continuationSeparator" w:id="0">
    <w:p w14:paraId="7980D803" w14:textId="77777777" w:rsidR="00A05288" w:rsidRDefault="00A05288"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EBED" w14:textId="3E053FCF" w:rsidR="00A05288" w:rsidRDefault="00A05288"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D7" w14:textId="2EF8AC96" w:rsidR="00A05288" w:rsidRDefault="00A05288">
    <w:pPr>
      <w:pStyle w:val="Header"/>
    </w:pPr>
    <w:r>
      <w:rPr>
        <w:noProof/>
      </w:rPr>
      <w:drawing>
        <wp:anchor distT="0" distB="0" distL="114300" distR="114300" simplePos="0" relativeHeight="251669504" behindDoc="0" locked="0" layoutInCell="1" allowOverlap="1" wp14:anchorId="0717511A" wp14:editId="7CE408F8">
          <wp:simplePos x="0" y="0"/>
          <wp:positionH relativeFrom="column">
            <wp:posOffset>3901440</wp:posOffset>
          </wp:positionH>
          <wp:positionV relativeFrom="paragraph">
            <wp:posOffset>-234950</wp:posOffset>
          </wp:positionV>
          <wp:extent cx="1767840" cy="763905"/>
          <wp:effectExtent l="0" t="0" r="3810" b="0"/>
          <wp:wrapThrough wrapText="bothSides">
            <wp:wrapPolygon edited="0">
              <wp:start x="0" y="0"/>
              <wp:lineTo x="0" y="21007"/>
              <wp:lineTo x="21414" y="21007"/>
              <wp:lineTo x="21414"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E193648" wp14:editId="778176F8">
          <wp:simplePos x="0" y="0"/>
          <wp:positionH relativeFrom="column">
            <wp:posOffset>-81280</wp:posOffset>
          </wp:positionH>
          <wp:positionV relativeFrom="paragraph">
            <wp:posOffset>-116205</wp:posOffset>
          </wp:positionV>
          <wp:extent cx="2225040" cy="646430"/>
          <wp:effectExtent l="0" t="0" r="3810"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22AD4" w14:textId="1156C22B" w:rsidR="00A05288" w:rsidRDefault="00A05288" w:rsidP="00BB5FD4">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531"/>
    <w:multiLevelType w:val="hybridMultilevel"/>
    <w:tmpl w:val="66FA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A642C"/>
    <w:multiLevelType w:val="multilevel"/>
    <w:tmpl w:val="4EAEE08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B102E"/>
    <w:multiLevelType w:val="hybridMultilevel"/>
    <w:tmpl w:val="E1B4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70DA9"/>
    <w:multiLevelType w:val="hybridMultilevel"/>
    <w:tmpl w:val="6772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96C06"/>
    <w:multiLevelType w:val="hybridMultilevel"/>
    <w:tmpl w:val="CF546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504D9"/>
    <w:multiLevelType w:val="hybridMultilevel"/>
    <w:tmpl w:val="307A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94D6B"/>
    <w:multiLevelType w:val="multilevel"/>
    <w:tmpl w:val="5C4A0C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21426"/>
    <w:multiLevelType w:val="multilevel"/>
    <w:tmpl w:val="4ACA7A9A"/>
    <w:lvl w:ilvl="0">
      <w:start w:val="1"/>
      <w:numFmt w:val="decimal"/>
      <w:lvlText w:val="%1."/>
      <w:lvlJc w:val="left"/>
      <w:pPr>
        <w:ind w:left="1134" w:hanging="1134"/>
      </w:pPr>
      <w:rPr>
        <w:rFonts w:hint="default"/>
      </w:rPr>
    </w:lvl>
    <w:lvl w:ilvl="1">
      <w:start w:val="1"/>
      <w:numFmt w:val="decimal"/>
      <w:lvlText w:val="%1.%2."/>
      <w:lvlJc w:val="left"/>
      <w:pPr>
        <w:ind w:left="8222" w:hanging="1134"/>
      </w:pPr>
      <w:rPr>
        <w:rFonts w:hint="default"/>
        <w:b w:val="0"/>
        <w:bCs w:val="0"/>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B16C79"/>
    <w:multiLevelType w:val="hybridMultilevel"/>
    <w:tmpl w:val="54E06C0E"/>
    <w:lvl w:ilvl="0" w:tplc="A77AA63C">
      <w:start w:val="1"/>
      <w:numFmt w:val="bullet"/>
      <w:lvlText w:val=""/>
      <w:lvlJc w:val="left"/>
      <w:pPr>
        <w:tabs>
          <w:tab w:val="num" w:pos="1154"/>
        </w:tabs>
        <w:ind w:left="1154" w:hanging="357"/>
      </w:pPr>
      <w:rPr>
        <w:rFonts w:ascii="Symbol" w:hAnsi="Symbol" w:hint="default"/>
        <w:sz w:val="20"/>
        <w:szCs w:val="20"/>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4F71409"/>
    <w:multiLevelType w:val="hybridMultilevel"/>
    <w:tmpl w:val="2B8AB2B2"/>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14" w15:restartNumberingAfterBreak="0">
    <w:nsid w:val="35F10C54"/>
    <w:multiLevelType w:val="multilevel"/>
    <w:tmpl w:val="5E78786A"/>
    <w:lvl w:ilvl="0">
      <w:start w:val="1"/>
      <w:numFmt w:val="decimal"/>
      <w:lvlText w:val="%1."/>
      <w:lvlJc w:val="left"/>
      <w:pPr>
        <w:ind w:left="1134" w:hanging="1134"/>
      </w:pPr>
      <w:rPr>
        <w:rFonts w:hint="default"/>
      </w:rPr>
    </w:lvl>
    <w:lvl w:ilvl="1">
      <w:start w:val="1"/>
      <w:numFmt w:val="decimal"/>
      <w:lvlText w:val="%1.%2."/>
      <w:lvlJc w:val="left"/>
      <w:pPr>
        <w:ind w:left="8222" w:hanging="1134"/>
      </w:pPr>
      <w:rPr>
        <w:rFonts w:hint="default"/>
        <w:b w:val="0"/>
        <w:bCs w:val="0"/>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0B71DD"/>
    <w:multiLevelType w:val="hybridMultilevel"/>
    <w:tmpl w:val="FFF2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43233"/>
    <w:multiLevelType w:val="multilevel"/>
    <w:tmpl w:val="AA9CC4F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8222" w:hanging="1134"/>
      </w:pPr>
      <w:rPr>
        <w:rFonts w:hint="default"/>
        <w:b w:val="0"/>
        <w:bCs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095BEB"/>
    <w:multiLevelType w:val="hybridMultilevel"/>
    <w:tmpl w:val="7004C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71653B8"/>
    <w:multiLevelType w:val="hybridMultilevel"/>
    <w:tmpl w:val="280A6B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1">
      <w:start w:val="1"/>
      <w:numFmt w:val="bullet"/>
      <w:lvlText w:val=""/>
      <w:lvlJc w:val="left"/>
      <w:pPr>
        <w:ind w:left="4734" w:hanging="360"/>
      </w:pPr>
      <w:rPr>
        <w:rFonts w:ascii="Symbol" w:hAnsi="Symbo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4A6BB5"/>
    <w:multiLevelType w:val="hybridMultilevel"/>
    <w:tmpl w:val="8B581E1A"/>
    <w:lvl w:ilvl="0" w:tplc="221CDE3C">
      <w:start w:val="1"/>
      <w:numFmt w:val="bullet"/>
      <w:lvlText w:val=""/>
      <w:lvlJc w:val="left"/>
      <w:pPr>
        <w:ind w:left="720" w:hanging="360"/>
      </w:pPr>
      <w:rPr>
        <w:rFonts w:ascii="Symbol" w:hAnsi="Symbol" w:hint="default"/>
      </w:rPr>
    </w:lvl>
    <w:lvl w:ilvl="1" w:tplc="6E1A7E90">
      <w:numFmt w:val="bullet"/>
      <w:lvlText w:val="•"/>
      <w:lvlJc w:val="left"/>
      <w:pPr>
        <w:ind w:left="2160" w:hanging="108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02833"/>
    <w:multiLevelType w:val="hybridMultilevel"/>
    <w:tmpl w:val="E4BE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D7C9E"/>
    <w:multiLevelType w:val="hybridMultilevel"/>
    <w:tmpl w:val="FFAC05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7B3B30"/>
    <w:multiLevelType w:val="hybridMultilevel"/>
    <w:tmpl w:val="9DF0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B431A"/>
    <w:multiLevelType w:val="multilevel"/>
    <w:tmpl w:val="372E62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2192F"/>
    <w:multiLevelType w:val="hybridMultilevel"/>
    <w:tmpl w:val="923A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F3420"/>
    <w:multiLevelType w:val="multilevel"/>
    <w:tmpl w:val="F294977E"/>
    <w:lvl w:ilvl="0">
      <w:start w:val="1"/>
      <w:numFmt w:val="decimal"/>
      <w:lvlText w:val="%1."/>
      <w:lvlJc w:val="left"/>
      <w:pPr>
        <w:ind w:left="1134" w:hanging="1134"/>
      </w:pPr>
      <w:rPr>
        <w:rFonts w:hint="default"/>
      </w:rPr>
    </w:lvl>
    <w:lvl w:ilvl="1">
      <w:start w:val="1"/>
      <w:numFmt w:val="decimal"/>
      <w:lvlText w:val="%1.%2."/>
      <w:lvlJc w:val="left"/>
      <w:pPr>
        <w:ind w:left="1560"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5"/>
  </w:num>
  <w:num w:numId="3">
    <w:abstractNumId w:val="29"/>
  </w:num>
  <w:num w:numId="4">
    <w:abstractNumId w:val="8"/>
  </w:num>
  <w:num w:numId="5">
    <w:abstractNumId w:val="24"/>
  </w:num>
  <w:num w:numId="6">
    <w:abstractNumId w:val="28"/>
  </w:num>
  <w:num w:numId="7">
    <w:abstractNumId w:val="11"/>
  </w:num>
  <w:num w:numId="8">
    <w:abstractNumId w:val="31"/>
  </w:num>
  <w:num w:numId="9">
    <w:abstractNumId w:val="1"/>
  </w:num>
  <w:num w:numId="10">
    <w:abstractNumId w:val="20"/>
  </w:num>
  <w:num w:numId="11">
    <w:abstractNumId w:val="30"/>
  </w:num>
  <w:num w:numId="12">
    <w:abstractNumId w:val="0"/>
  </w:num>
  <w:num w:numId="13">
    <w:abstractNumId w:val="18"/>
  </w:num>
  <w:num w:numId="14">
    <w:abstractNumId w:val="2"/>
  </w:num>
  <w:num w:numId="15">
    <w:abstractNumId w:val="6"/>
  </w:num>
  <w:num w:numId="16">
    <w:abstractNumId w:val="13"/>
  </w:num>
  <w:num w:numId="17">
    <w:abstractNumId w:val="33"/>
  </w:num>
  <w:num w:numId="18">
    <w:abstractNumId w:val="19"/>
  </w:num>
  <w:num w:numId="19">
    <w:abstractNumId w:val="17"/>
  </w:num>
  <w:num w:numId="20">
    <w:abstractNumId w:val="26"/>
  </w:num>
  <w:num w:numId="21">
    <w:abstractNumId w:val="27"/>
  </w:num>
  <w:num w:numId="22">
    <w:abstractNumId w:val="21"/>
  </w:num>
  <w:num w:numId="23">
    <w:abstractNumId w:val="12"/>
  </w:num>
  <w:num w:numId="24">
    <w:abstractNumId w:val="7"/>
  </w:num>
  <w:num w:numId="25">
    <w:abstractNumId w:val="9"/>
  </w:num>
  <w:num w:numId="26">
    <w:abstractNumId w:val="15"/>
  </w:num>
  <w:num w:numId="27">
    <w:abstractNumId w:val="3"/>
  </w:num>
  <w:num w:numId="28">
    <w:abstractNumId w:val="22"/>
  </w:num>
  <w:num w:numId="29">
    <w:abstractNumId w:val="10"/>
  </w:num>
  <w:num w:numId="30">
    <w:abstractNumId w:val="4"/>
  </w:num>
  <w:num w:numId="31">
    <w:abstractNumId w:val="5"/>
  </w:num>
  <w:num w:numId="32">
    <w:abstractNumId w:val="32"/>
  </w:num>
  <w:num w:numId="33">
    <w:abstractNumId w:val="14"/>
  </w:num>
  <w:num w:numId="3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29F"/>
    <w:rsid w:val="00005E44"/>
    <w:rsid w:val="00032882"/>
    <w:rsid w:val="00033ADA"/>
    <w:rsid w:val="00053CDD"/>
    <w:rsid w:val="00060F93"/>
    <w:rsid w:val="000665B0"/>
    <w:rsid w:val="00094FB7"/>
    <w:rsid w:val="000A46A2"/>
    <w:rsid w:val="000A6E17"/>
    <w:rsid w:val="000A7DDA"/>
    <w:rsid w:val="000B67B5"/>
    <w:rsid w:val="000B7895"/>
    <w:rsid w:val="000D3DA0"/>
    <w:rsid w:val="000F4958"/>
    <w:rsid w:val="000F560D"/>
    <w:rsid w:val="00132262"/>
    <w:rsid w:val="001372BC"/>
    <w:rsid w:val="00137B4C"/>
    <w:rsid w:val="00146119"/>
    <w:rsid w:val="00152616"/>
    <w:rsid w:val="00170459"/>
    <w:rsid w:val="001758BE"/>
    <w:rsid w:val="00181267"/>
    <w:rsid w:val="00182901"/>
    <w:rsid w:val="0018348A"/>
    <w:rsid w:val="00186694"/>
    <w:rsid w:val="001946F0"/>
    <w:rsid w:val="001A54B1"/>
    <w:rsid w:val="001B214F"/>
    <w:rsid w:val="001B4D3C"/>
    <w:rsid w:val="001D10D8"/>
    <w:rsid w:val="001D2701"/>
    <w:rsid w:val="001F408C"/>
    <w:rsid w:val="00201DAA"/>
    <w:rsid w:val="00202E20"/>
    <w:rsid w:val="00225AB9"/>
    <w:rsid w:val="00250FB0"/>
    <w:rsid w:val="00254FFE"/>
    <w:rsid w:val="002746E5"/>
    <w:rsid w:val="002B745C"/>
    <w:rsid w:val="002E07CD"/>
    <w:rsid w:val="002E78AA"/>
    <w:rsid w:val="003108BE"/>
    <w:rsid w:val="00324D0B"/>
    <w:rsid w:val="00331F09"/>
    <w:rsid w:val="00343A4F"/>
    <w:rsid w:val="0035086F"/>
    <w:rsid w:val="00375DF6"/>
    <w:rsid w:val="003769CF"/>
    <w:rsid w:val="00376E43"/>
    <w:rsid w:val="003771EC"/>
    <w:rsid w:val="00380BB8"/>
    <w:rsid w:val="003A0076"/>
    <w:rsid w:val="003A663C"/>
    <w:rsid w:val="003B65EB"/>
    <w:rsid w:val="003C17DD"/>
    <w:rsid w:val="003C387F"/>
    <w:rsid w:val="003C6732"/>
    <w:rsid w:val="003C6E42"/>
    <w:rsid w:val="003E4292"/>
    <w:rsid w:val="003F60BB"/>
    <w:rsid w:val="00404903"/>
    <w:rsid w:val="00436E01"/>
    <w:rsid w:val="004704D0"/>
    <w:rsid w:val="004A1229"/>
    <w:rsid w:val="004A1ADD"/>
    <w:rsid w:val="004A4C30"/>
    <w:rsid w:val="004A677D"/>
    <w:rsid w:val="004B2102"/>
    <w:rsid w:val="004C1166"/>
    <w:rsid w:val="004D3B93"/>
    <w:rsid w:val="004E57AC"/>
    <w:rsid w:val="00512479"/>
    <w:rsid w:val="00514203"/>
    <w:rsid w:val="005354EB"/>
    <w:rsid w:val="00546A28"/>
    <w:rsid w:val="00555EF6"/>
    <w:rsid w:val="00562866"/>
    <w:rsid w:val="00592017"/>
    <w:rsid w:val="005B64F8"/>
    <w:rsid w:val="005F76E6"/>
    <w:rsid w:val="00604887"/>
    <w:rsid w:val="00610177"/>
    <w:rsid w:val="006134A1"/>
    <w:rsid w:val="0061607B"/>
    <w:rsid w:val="006178BB"/>
    <w:rsid w:val="00627027"/>
    <w:rsid w:val="006606C1"/>
    <w:rsid w:val="0068694C"/>
    <w:rsid w:val="006A31D1"/>
    <w:rsid w:val="006A3B30"/>
    <w:rsid w:val="006A6111"/>
    <w:rsid w:val="006B0758"/>
    <w:rsid w:val="006B3E9C"/>
    <w:rsid w:val="006C7D29"/>
    <w:rsid w:val="006E194C"/>
    <w:rsid w:val="006F1030"/>
    <w:rsid w:val="00700DAE"/>
    <w:rsid w:val="00706434"/>
    <w:rsid w:val="00716D9A"/>
    <w:rsid w:val="007251E2"/>
    <w:rsid w:val="00727476"/>
    <w:rsid w:val="00732AFE"/>
    <w:rsid w:val="00741D9B"/>
    <w:rsid w:val="00781F15"/>
    <w:rsid w:val="007B5378"/>
    <w:rsid w:val="007C0859"/>
    <w:rsid w:val="007C0FC5"/>
    <w:rsid w:val="007C2E2B"/>
    <w:rsid w:val="007E4C17"/>
    <w:rsid w:val="007F6628"/>
    <w:rsid w:val="00811934"/>
    <w:rsid w:val="00823785"/>
    <w:rsid w:val="00826D33"/>
    <w:rsid w:val="00830ED5"/>
    <w:rsid w:val="008344D6"/>
    <w:rsid w:val="00843CF9"/>
    <w:rsid w:val="00844D34"/>
    <w:rsid w:val="008507F0"/>
    <w:rsid w:val="008548C3"/>
    <w:rsid w:val="00864DA9"/>
    <w:rsid w:val="00867883"/>
    <w:rsid w:val="00870129"/>
    <w:rsid w:val="00890A86"/>
    <w:rsid w:val="008D034C"/>
    <w:rsid w:val="008E4397"/>
    <w:rsid w:val="008E7A15"/>
    <w:rsid w:val="009102C2"/>
    <w:rsid w:val="00911C7E"/>
    <w:rsid w:val="00914ACF"/>
    <w:rsid w:val="00914EFC"/>
    <w:rsid w:val="00921039"/>
    <w:rsid w:val="00956891"/>
    <w:rsid w:val="0096093E"/>
    <w:rsid w:val="0096475D"/>
    <w:rsid w:val="00967546"/>
    <w:rsid w:val="0099376B"/>
    <w:rsid w:val="009950AE"/>
    <w:rsid w:val="009A5CB3"/>
    <w:rsid w:val="009A7716"/>
    <w:rsid w:val="009B7178"/>
    <w:rsid w:val="009C506B"/>
    <w:rsid w:val="009C523D"/>
    <w:rsid w:val="009D1227"/>
    <w:rsid w:val="009D758F"/>
    <w:rsid w:val="009F46DD"/>
    <w:rsid w:val="009F76DB"/>
    <w:rsid w:val="00A05288"/>
    <w:rsid w:val="00A161B5"/>
    <w:rsid w:val="00A16E5D"/>
    <w:rsid w:val="00A23003"/>
    <w:rsid w:val="00A26F04"/>
    <w:rsid w:val="00A321E7"/>
    <w:rsid w:val="00A45B08"/>
    <w:rsid w:val="00A76671"/>
    <w:rsid w:val="00A82083"/>
    <w:rsid w:val="00A82758"/>
    <w:rsid w:val="00A978B9"/>
    <w:rsid w:val="00AA695B"/>
    <w:rsid w:val="00AC12CF"/>
    <w:rsid w:val="00AE3317"/>
    <w:rsid w:val="00B047A2"/>
    <w:rsid w:val="00B11D29"/>
    <w:rsid w:val="00B218EE"/>
    <w:rsid w:val="00B264C1"/>
    <w:rsid w:val="00B31CD9"/>
    <w:rsid w:val="00B346EA"/>
    <w:rsid w:val="00B420E7"/>
    <w:rsid w:val="00B47B4C"/>
    <w:rsid w:val="00B63132"/>
    <w:rsid w:val="00B6633E"/>
    <w:rsid w:val="00B74953"/>
    <w:rsid w:val="00B80EAE"/>
    <w:rsid w:val="00BB5FD4"/>
    <w:rsid w:val="00BD052E"/>
    <w:rsid w:val="00BE2C89"/>
    <w:rsid w:val="00BE2D71"/>
    <w:rsid w:val="00BF1ACB"/>
    <w:rsid w:val="00C12F34"/>
    <w:rsid w:val="00C31806"/>
    <w:rsid w:val="00C4088C"/>
    <w:rsid w:val="00C67CE0"/>
    <w:rsid w:val="00C819CD"/>
    <w:rsid w:val="00C85BA5"/>
    <w:rsid w:val="00C9112A"/>
    <w:rsid w:val="00C97551"/>
    <w:rsid w:val="00CD2FC3"/>
    <w:rsid w:val="00CD4F8D"/>
    <w:rsid w:val="00D55277"/>
    <w:rsid w:val="00D56619"/>
    <w:rsid w:val="00D61566"/>
    <w:rsid w:val="00D627A4"/>
    <w:rsid w:val="00D73ACF"/>
    <w:rsid w:val="00D8164C"/>
    <w:rsid w:val="00D877D4"/>
    <w:rsid w:val="00D9038F"/>
    <w:rsid w:val="00DD4520"/>
    <w:rsid w:val="00DD7B4B"/>
    <w:rsid w:val="00DE3EFB"/>
    <w:rsid w:val="00E231B0"/>
    <w:rsid w:val="00E23D89"/>
    <w:rsid w:val="00E63F9E"/>
    <w:rsid w:val="00E90CB2"/>
    <w:rsid w:val="00EB2446"/>
    <w:rsid w:val="00EB3F99"/>
    <w:rsid w:val="00EB44FF"/>
    <w:rsid w:val="00EB783D"/>
    <w:rsid w:val="00EE38C1"/>
    <w:rsid w:val="00EF38D4"/>
    <w:rsid w:val="00EF605C"/>
    <w:rsid w:val="00EF7BC3"/>
    <w:rsid w:val="00F14F7D"/>
    <w:rsid w:val="00F15781"/>
    <w:rsid w:val="00F15D18"/>
    <w:rsid w:val="00F45713"/>
    <w:rsid w:val="00F5332D"/>
    <w:rsid w:val="00F574C0"/>
    <w:rsid w:val="00F85B39"/>
    <w:rsid w:val="00F90D76"/>
    <w:rsid w:val="00F913CD"/>
    <w:rsid w:val="00FB3C48"/>
    <w:rsid w:val="00FB514E"/>
    <w:rsid w:val="00FC3027"/>
    <w:rsid w:val="00FC7C60"/>
    <w:rsid w:val="00FD2B5D"/>
    <w:rsid w:val="00FE4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B5378"/>
    <w:pPr>
      <w:keepNext/>
      <w:keepLines/>
      <w:numPr>
        <w:numId w:val="1"/>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914EFC"/>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7B5378"/>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914EFC"/>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914EFC"/>
    <w:pPr>
      <w:numPr>
        <w:ilvl w:val="2"/>
        <w:numId w:val="1"/>
      </w:numPr>
      <w:spacing w:before="120" w:after="120"/>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60F9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B2446"/>
    <w:rPr>
      <w:rFonts w:cs="Times New Roman (Body CS)"/>
      <w:color w:val="231F20" w:themeColor="text1"/>
    </w:rPr>
  </w:style>
  <w:style w:type="character" w:styleId="FollowedHyperlink">
    <w:name w:val="FollowedHyperlink"/>
    <w:basedOn w:val="DefaultParagraphFont"/>
    <w:uiPriority w:val="99"/>
    <w:semiHidden/>
    <w:unhideWhenUsed/>
    <w:rsid w:val="0061607B"/>
    <w:rPr>
      <w:color w:val="00A399" w:themeColor="followedHyperlink"/>
      <w:u w:val="single"/>
    </w:rPr>
  </w:style>
  <w:style w:type="table" w:customStyle="1" w:styleId="TableGrid1">
    <w:name w:val="Table Grid1"/>
    <w:basedOn w:val="TableNormal"/>
    <w:next w:val="TableGrid"/>
    <w:rsid w:val="00BE2D7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rowncommercial.gov.uk/agreements/RM37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ution.nhs.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64</TotalTime>
  <Pages>13</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16481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Viv</cp:lastModifiedBy>
  <cp:revision>4</cp:revision>
  <cp:lastPrinted>2021-12-03T14:01:00Z</cp:lastPrinted>
  <dcterms:created xsi:type="dcterms:W3CDTF">2022-06-21T13:46:00Z</dcterms:created>
  <dcterms:modified xsi:type="dcterms:W3CDTF">2022-07-10T13:06:00Z</dcterms:modified>
  <cp:category/>
</cp:coreProperties>
</file>